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4074"/>
      </w:tblGrid>
      <w:tr w:rsidR="00F8104A" w:rsidRPr="00E505F6" w:rsidTr="00DB3031">
        <w:trPr>
          <w:trHeight w:val="1020"/>
        </w:trPr>
        <w:tc>
          <w:tcPr>
            <w:tcW w:w="1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04A" w:rsidRPr="00E505F6" w:rsidRDefault="00E85099" w:rsidP="00DB303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505F6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5972175" cy="695325"/>
                  <wp:effectExtent l="19050" t="0" r="9525" b="0"/>
                  <wp:docPr id="1" name="Obraz 1" descr="banner na dokumenty - czarno-biał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banner na dokumenty - czarno-biał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1438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389"/>
            </w:tblGrid>
            <w:tr w:rsidR="00F8104A" w:rsidRPr="00E505F6" w:rsidTr="00DB3031">
              <w:trPr>
                <w:trHeight w:val="1020"/>
                <w:tblCellSpacing w:w="0" w:type="dxa"/>
              </w:trPr>
              <w:tc>
                <w:tcPr>
                  <w:tcW w:w="14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104A" w:rsidRPr="00E505F6" w:rsidRDefault="00F8104A" w:rsidP="00DB3031">
                  <w:pPr>
                    <w:jc w:val="right"/>
                    <w:outlineLvl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              </w:t>
                  </w:r>
                </w:p>
                <w:p w:rsidR="00F8104A" w:rsidRPr="00E505F6" w:rsidRDefault="00F8104A" w:rsidP="00DB3031">
                  <w:pPr>
                    <w:jc w:val="right"/>
                    <w:outlineLvl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  <w:p w:rsidR="00F8104A" w:rsidRPr="00E505F6" w:rsidRDefault="00F8104A" w:rsidP="00DB3031">
                  <w:pPr>
                    <w:jc w:val="right"/>
                    <w:outlineLvl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  <w:p w:rsidR="00F8104A" w:rsidRPr="00E505F6" w:rsidRDefault="00F92005" w:rsidP="00F07C18">
                  <w:pPr>
                    <w:jc w:val="right"/>
                    <w:outlineLvl w:val="0"/>
                    <w:rPr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 Załącznik nr </w:t>
                  </w:r>
                  <w:r w:rsidR="00E85099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i/>
                      <w:iCs/>
                      <w:color w:val="000000"/>
                      <w:sz w:val="20"/>
                      <w:szCs w:val="20"/>
                    </w:rPr>
                    <w:t>I</w:t>
                  </w:r>
                  <w:r w:rsidR="00E85099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r w:rsidR="00F8104A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 xml:space="preserve"> do Sprawozdania rocznego z realizacji RPO WSL w 20</w:t>
                  </w:r>
                  <w:r w:rsidR="001E1568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>12</w:t>
                  </w:r>
                  <w:r w:rsidR="00F07C18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>r.</w:t>
                  </w:r>
                  <w:r w:rsidR="00F8104A" w:rsidRPr="00E505F6">
                    <w:rPr>
                      <w:i/>
                      <w:iCs/>
                      <w:color w:val="000000"/>
                      <w:sz w:val="20"/>
                      <w:szCs w:val="20"/>
                    </w:rPr>
                    <w:t>roku</w:t>
                  </w:r>
                </w:p>
              </w:tc>
            </w:tr>
          </w:tbl>
          <w:p w:rsidR="00F8104A" w:rsidRPr="00E505F6" w:rsidRDefault="00F8104A" w:rsidP="00DB3031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</w:tr>
    </w:tbl>
    <w:p w:rsidR="00F8104A" w:rsidRPr="00E505F6" w:rsidRDefault="00F8104A" w:rsidP="00F8104A">
      <w:pPr>
        <w:jc w:val="center"/>
        <w:outlineLvl w:val="0"/>
        <w:rPr>
          <w:sz w:val="20"/>
          <w:szCs w:val="20"/>
        </w:rPr>
      </w:pPr>
    </w:p>
    <w:p w:rsidR="00F8104A" w:rsidRPr="00E505F6" w:rsidRDefault="00F8104A" w:rsidP="00F8104A">
      <w:pPr>
        <w:jc w:val="center"/>
        <w:outlineLvl w:val="0"/>
        <w:rPr>
          <w:sz w:val="20"/>
          <w:szCs w:val="20"/>
        </w:rPr>
      </w:pPr>
    </w:p>
    <w:p w:rsidR="00F8104A" w:rsidRPr="00E505F6" w:rsidRDefault="00F8104A" w:rsidP="00F8104A">
      <w:pPr>
        <w:jc w:val="center"/>
        <w:outlineLvl w:val="0"/>
        <w:rPr>
          <w:b/>
          <w:sz w:val="20"/>
          <w:szCs w:val="20"/>
        </w:rPr>
      </w:pPr>
      <w:r w:rsidRPr="00E505F6">
        <w:rPr>
          <w:b/>
          <w:sz w:val="20"/>
          <w:szCs w:val="20"/>
        </w:rPr>
        <w:t>Przykłady projektów komplementarnych w ramach RPO WSL</w:t>
      </w:r>
    </w:p>
    <w:p w:rsidR="00F8104A" w:rsidRPr="00E505F6" w:rsidRDefault="00F8104A" w:rsidP="00F8104A">
      <w:pPr>
        <w:outlineLvl w:val="0"/>
        <w:rPr>
          <w:sz w:val="20"/>
          <w:szCs w:val="20"/>
        </w:rPr>
      </w:pPr>
    </w:p>
    <w:tbl>
      <w:tblPr>
        <w:tblW w:w="1630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1"/>
        <w:gridCol w:w="22"/>
        <w:gridCol w:w="3687"/>
        <w:gridCol w:w="284"/>
        <w:gridCol w:w="424"/>
        <w:gridCol w:w="847"/>
        <w:gridCol w:w="1705"/>
        <w:gridCol w:w="1418"/>
        <w:gridCol w:w="855"/>
        <w:gridCol w:w="135"/>
        <w:gridCol w:w="943"/>
        <w:gridCol w:w="23"/>
        <w:gridCol w:w="24"/>
        <w:gridCol w:w="1085"/>
        <w:gridCol w:w="531"/>
        <w:gridCol w:w="2498"/>
      </w:tblGrid>
      <w:tr w:rsidR="00E22E17" w:rsidRPr="00E505F6" w:rsidTr="00911F43">
        <w:trPr>
          <w:trHeight w:val="573"/>
        </w:trPr>
        <w:tc>
          <w:tcPr>
            <w:tcW w:w="1821" w:type="dxa"/>
            <w:vMerge w:val="restart"/>
            <w:tcBorders>
              <w:top w:val="nil"/>
              <w:left w:val="nil"/>
            </w:tcBorders>
            <w:vAlign w:val="center"/>
          </w:tcPr>
          <w:p w:rsidR="00E22E17" w:rsidRPr="00E505F6" w:rsidRDefault="009C1245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1.</w:t>
            </w:r>
          </w:p>
        </w:tc>
        <w:tc>
          <w:tcPr>
            <w:tcW w:w="10343" w:type="dxa"/>
            <w:gridSpan w:val="11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8" w:type="dxa"/>
            <w:gridSpan w:val="4"/>
            <w:vMerge w:val="restart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E22E17" w:rsidRPr="00E505F6" w:rsidTr="00911F43">
        <w:trPr>
          <w:trHeight w:val="591"/>
        </w:trPr>
        <w:tc>
          <w:tcPr>
            <w:tcW w:w="182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5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9" w:type="dxa"/>
            <w:gridSpan w:val="6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outlineLvl w:val="0"/>
              <w:rPr>
                <w:b/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833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C83D47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5264" w:type="dxa"/>
            <w:gridSpan w:val="5"/>
          </w:tcPr>
          <w:p w:rsidR="00E22E17" w:rsidRPr="00E505F6" w:rsidRDefault="00E22E17" w:rsidP="00E22E17">
            <w:pPr>
              <w:outlineLvl w:val="0"/>
              <w:rPr>
                <w:sz w:val="20"/>
                <w:szCs w:val="20"/>
              </w:rPr>
            </w:pPr>
          </w:p>
          <w:p w:rsidR="00E22E17" w:rsidRPr="00E505F6" w:rsidRDefault="0088167F" w:rsidP="006D4F75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Modernizacja i budowa nowej infrastruktury okołoturystycznej przy Zamku Ogrodzienieckim w Podzamczu</w:t>
            </w:r>
          </w:p>
        </w:tc>
        <w:tc>
          <w:tcPr>
            <w:tcW w:w="5079" w:type="dxa"/>
            <w:gridSpan w:val="6"/>
          </w:tcPr>
          <w:p w:rsidR="00E22E17" w:rsidRPr="00E505F6" w:rsidRDefault="00E22E17" w:rsidP="00E22E17">
            <w:pPr>
              <w:outlineLvl w:val="0"/>
              <w:rPr>
                <w:sz w:val="20"/>
                <w:szCs w:val="20"/>
              </w:rPr>
            </w:pPr>
          </w:p>
          <w:p w:rsidR="00E22E17" w:rsidRPr="00E505F6" w:rsidRDefault="00975C19" w:rsidP="00E22E17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Rozbudowa bazy gastronomicznej i noclegowej obsługującej grupy szkolne w Podzamczu</w:t>
            </w:r>
          </w:p>
          <w:p w:rsidR="00E22E17" w:rsidRPr="00E505F6" w:rsidRDefault="00E22E17" w:rsidP="00E22E17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 w:val="restart"/>
            <w:vAlign w:val="center"/>
          </w:tcPr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632FF2" w:rsidRPr="00E505F6" w:rsidRDefault="00F04528" w:rsidP="00632FF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Projekty stanowią uzupełnienie inwestycji z zakresu turystyki, są odpowiedzią na wzmożony ruch turystyczny na terenie </w:t>
            </w:r>
            <w:r w:rsidR="001D72BA" w:rsidRPr="00E505F6">
              <w:rPr>
                <w:rFonts w:ascii="Times New Roman" w:hAnsi="Times New Roman"/>
                <w:sz w:val="20"/>
                <w:szCs w:val="20"/>
              </w:rPr>
              <w:t>Gminy Ogrodzieniec</w:t>
            </w:r>
            <w:r w:rsidR="00547A10" w:rsidRPr="00E505F6">
              <w:rPr>
                <w:rFonts w:ascii="Times New Roman" w:hAnsi="Times New Roman"/>
                <w:sz w:val="20"/>
                <w:szCs w:val="20"/>
              </w:rPr>
              <w:t xml:space="preserve"> i mają</w:t>
            </w:r>
            <w:r w:rsidR="0043063D" w:rsidRPr="00E505F6">
              <w:rPr>
                <w:rFonts w:ascii="Times New Roman" w:hAnsi="Times New Roman"/>
                <w:sz w:val="20"/>
                <w:szCs w:val="20"/>
              </w:rPr>
              <w:t xml:space="preserve"> na celu </w:t>
            </w:r>
            <w:r w:rsidR="00632FF2" w:rsidRPr="00E505F6">
              <w:rPr>
                <w:rFonts w:ascii="Times New Roman" w:hAnsi="Times New Roman"/>
                <w:sz w:val="20"/>
                <w:szCs w:val="20"/>
              </w:rPr>
              <w:t>zwię</w:t>
            </w:r>
            <w:r w:rsidR="00547A10" w:rsidRPr="00E505F6">
              <w:rPr>
                <w:rFonts w:ascii="Times New Roman" w:hAnsi="Times New Roman"/>
                <w:sz w:val="20"/>
                <w:szCs w:val="20"/>
              </w:rPr>
              <w:t>kszenie</w:t>
            </w:r>
            <w:r w:rsidR="00632FF2" w:rsidRPr="00E505F6">
              <w:rPr>
                <w:rFonts w:ascii="Times New Roman" w:hAnsi="Times New Roman"/>
                <w:sz w:val="20"/>
                <w:szCs w:val="20"/>
              </w:rPr>
              <w:t xml:space="preserve"> atrakcyjności turystycznej gminy.  </w:t>
            </w:r>
          </w:p>
          <w:p w:rsidR="00E04792" w:rsidRPr="00E505F6" w:rsidRDefault="008005E3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Jeden z projektów zakłada rozbudowę infrastruktury </w:t>
            </w:r>
            <w:r w:rsidR="00F22DF8" w:rsidRPr="00E505F6">
              <w:rPr>
                <w:rFonts w:ascii="Times New Roman" w:hAnsi="Times New Roman"/>
                <w:sz w:val="20"/>
                <w:szCs w:val="20"/>
              </w:rPr>
              <w:t>około</w:t>
            </w:r>
            <w:r w:rsidR="00097D57" w:rsidRPr="00E505F6">
              <w:rPr>
                <w:rFonts w:ascii="Times New Roman" w:hAnsi="Times New Roman"/>
                <w:sz w:val="20"/>
                <w:szCs w:val="20"/>
              </w:rPr>
              <w:t>turystycznej</w:t>
            </w:r>
            <w:r w:rsidR="000E3B78" w:rsidRPr="00E50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71E2" w:rsidRPr="00E505F6">
              <w:rPr>
                <w:rFonts w:ascii="Times New Roman" w:hAnsi="Times New Roman"/>
                <w:sz w:val="20"/>
                <w:szCs w:val="20"/>
              </w:rPr>
              <w:t xml:space="preserve">na terenie </w:t>
            </w:r>
            <w:r w:rsidR="000E3B78" w:rsidRPr="00E505F6">
              <w:rPr>
                <w:rFonts w:ascii="Times New Roman" w:hAnsi="Times New Roman"/>
                <w:sz w:val="20"/>
                <w:szCs w:val="20"/>
              </w:rPr>
              <w:t>głównej atrakcji turystycznej, jaką jest Zamek Ogrodzieniecki w Podzamczu</w:t>
            </w:r>
            <w:r w:rsidR="00097D57" w:rsidRPr="00E505F6">
              <w:rPr>
                <w:rFonts w:ascii="Times New Roman" w:hAnsi="Times New Roman"/>
                <w:sz w:val="20"/>
                <w:szCs w:val="20"/>
              </w:rPr>
              <w:t>, drugi rozbudowę bazy gastronomicznej i noclegowej</w:t>
            </w:r>
            <w:r w:rsidR="00F22DF8" w:rsidRPr="00E505F6">
              <w:rPr>
                <w:rFonts w:ascii="Times New Roman" w:hAnsi="Times New Roman"/>
                <w:sz w:val="20"/>
                <w:szCs w:val="20"/>
              </w:rPr>
              <w:t xml:space="preserve"> na terenie Gminy Ogrodzieniec.</w:t>
            </w:r>
            <w:r w:rsidR="00511CA1" w:rsidRPr="00E50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4792" w:rsidRPr="00E505F6" w:rsidRDefault="00E04792" w:rsidP="00E04792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718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5"/>
            <w:vAlign w:val="center"/>
          </w:tcPr>
          <w:p w:rsidR="00975C19" w:rsidRPr="00E505F6" w:rsidRDefault="00975C19" w:rsidP="00975C1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"Zamek" spółka z o.o.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975C19" w:rsidRPr="00E505F6" w:rsidRDefault="00975C19" w:rsidP="00975C1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"Zamek" spółka z o.o.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812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85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Nr i nazwa działania</w:t>
            </w:r>
          </w:p>
        </w:tc>
        <w:tc>
          <w:tcPr>
            <w:tcW w:w="5264" w:type="dxa"/>
            <w:gridSpan w:val="5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III. Turystyka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Infrastruktura okołoturystyczna</w:t>
            </w:r>
          </w:p>
          <w:p w:rsidR="00316D6B" w:rsidRPr="00E505F6" w:rsidRDefault="00E22E17" w:rsidP="00E420C0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2. Infrastruktura okołoturystyczna - podmioty publiczne</w:t>
            </w:r>
          </w:p>
        </w:tc>
        <w:tc>
          <w:tcPr>
            <w:tcW w:w="5079" w:type="dxa"/>
            <w:gridSpan w:val="6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III. Turystyka</w:t>
            </w:r>
          </w:p>
          <w:p w:rsidR="00E22E17" w:rsidRPr="00E505F6" w:rsidRDefault="007D38B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3.1</w:t>
            </w:r>
            <w:r w:rsidR="00E22E17" w:rsidRPr="00E505F6">
              <w:rPr>
                <w:sz w:val="20"/>
                <w:szCs w:val="20"/>
              </w:rPr>
              <w:t xml:space="preserve">. </w:t>
            </w:r>
            <w:r w:rsidR="009A400B" w:rsidRPr="00E505F6">
              <w:rPr>
                <w:sz w:val="20"/>
                <w:szCs w:val="20"/>
              </w:rPr>
              <w:t>Infrastruktura zaplecza turystycznego</w:t>
            </w:r>
          </w:p>
          <w:p w:rsidR="00E22E17" w:rsidRPr="00E505F6" w:rsidRDefault="009A400B" w:rsidP="00E420C0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3.1.2. Infrastruktura zaplecza turystycznego - podmioty publiczne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012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Okres realizacji projektu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B207B5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rFonts w:eastAsia="Calibri"/>
                <w:sz w:val="20"/>
                <w:szCs w:val="20"/>
              </w:rPr>
              <w:t xml:space="preserve">2012-09-01 - </w:t>
            </w:r>
            <w:r w:rsidR="00CA5B74" w:rsidRPr="00E505F6">
              <w:rPr>
                <w:rFonts w:eastAsia="Calibri"/>
                <w:sz w:val="20"/>
                <w:szCs w:val="20"/>
              </w:rPr>
              <w:t>2014-04-30</w:t>
            </w:r>
          </w:p>
        </w:tc>
        <w:tc>
          <w:tcPr>
            <w:tcW w:w="5079" w:type="dxa"/>
            <w:gridSpan w:val="6"/>
            <w:shd w:val="clear" w:color="auto" w:fill="auto"/>
            <w:vAlign w:val="center"/>
          </w:tcPr>
          <w:p w:rsidR="00E22E17" w:rsidRPr="00E505F6" w:rsidRDefault="00EA3855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2011-11-22 – 2013-02-28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164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4" w:type="dxa"/>
            <w:gridSpan w:val="5"/>
          </w:tcPr>
          <w:p w:rsidR="00316D6B" w:rsidRPr="00E505F6" w:rsidRDefault="00316D6B" w:rsidP="00E22E17">
            <w:pPr>
              <w:outlineLvl w:val="0"/>
              <w:rPr>
                <w:sz w:val="20"/>
                <w:szCs w:val="20"/>
              </w:rPr>
            </w:pPr>
          </w:p>
          <w:p w:rsidR="00316D6B" w:rsidRPr="00E505F6" w:rsidRDefault="00900177" w:rsidP="00E22E17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zakłada modernizację oraz wytyczenie nowej trasy</w:t>
            </w:r>
            <w:r w:rsidR="00AC66F0" w:rsidRPr="00E505F6">
              <w:rPr>
                <w:sz w:val="20"/>
                <w:szCs w:val="20"/>
              </w:rPr>
              <w:t xml:space="preserve"> zwiedzania </w:t>
            </w:r>
            <w:r w:rsidRPr="00E505F6">
              <w:rPr>
                <w:sz w:val="20"/>
                <w:szCs w:val="20"/>
              </w:rPr>
              <w:t>na Zamku w Ogrodzieńcu</w:t>
            </w:r>
            <w:r w:rsidR="00CB2809" w:rsidRPr="00E505F6">
              <w:rPr>
                <w:sz w:val="20"/>
                <w:szCs w:val="20"/>
              </w:rPr>
              <w:t xml:space="preserve"> – popularnej pod względem turystycznym atrakcji Jury Krakowsko-Częstochowskiej</w:t>
            </w:r>
            <w:r w:rsidRPr="00E505F6">
              <w:rPr>
                <w:sz w:val="20"/>
                <w:szCs w:val="20"/>
              </w:rPr>
              <w:t xml:space="preserve">. </w:t>
            </w:r>
            <w:r w:rsidR="00C36446" w:rsidRPr="00E505F6">
              <w:rPr>
                <w:sz w:val="20"/>
                <w:szCs w:val="20"/>
              </w:rPr>
              <w:t xml:space="preserve"> Modernizacja i budowa nowej trasy wymaga przeprowadzenia prac , związanych z następującymi elementami Zamku: dojazd do mostu zwodzonego, most zwodzony, </w:t>
            </w:r>
            <w:r w:rsidR="00747635" w:rsidRPr="00E505F6">
              <w:rPr>
                <w:sz w:val="20"/>
                <w:szCs w:val="20"/>
              </w:rPr>
              <w:t xml:space="preserve">tarasy, </w:t>
            </w:r>
            <w:r w:rsidR="00C36446" w:rsidRPr="00E505F6">
              <w:rPr>
                <w:sz w:val="20"/>
                <w:szCs w:val="20"/>
              </w:rPr>
              <w:t>schody</w:t>
            </w:r>
            <w:r w:rsidR="00747635" w:rsidRPr="00E505F6">
              <w:rPr>
                <w:sz w:val="20"/>
                <w:szCs w:val="20"/>
              </w:rPr>
              <w:t xml:space="preserve">, ganki </w:t>
            </w:r>
            <w:r w:rsidR="00C36446" w:rsidRPr="00E505F6">
              <w:rPr>
                <w:sz w:val="20"/>
                <w:szCs w:val="20"/>
              </w:rPr>
              <w:t xml:space="preserve">na trasie turystycznej, </w:t>
            </w:r>
            <w:r w:rsidR="001822C4" w:rsidRPr="00E505F6">
              <w:rPr>
                <w:sz w:val="20"/>
                <w:szCs w:val="20"/>
              </w:rPr>
              <w:t xml:space="preserve"> oraz </w:t>
            </w:r>
            <w:r w:rsidR="00310AF0" w:rsidRPr="00E505F6">
              <w:rPr>
                <w:sz w:val="20"/>
                <w:szCs w:val="20"/>
              </w:rPr>
              <w:t>prace polegające na zabezpieczeniu murów</w:t>
            </w:r>
            <w:r w:rsidR="00B15E30" w:rsidRPr="00E505F6">
              <w:rPr>
                <w:sz w:val="20"/>
                <w:szCs w:val="20"/>
              </w:rPr>
              <w:t>, które zapewnią bezpieczne uż</w:t>
            </w:r>
            <w:r w:rsidR="003A7944" w:rsidRPr="00E505F6">
              <w:rPr>
                <w:sz w:val="20"/>
                <w:szCs w:val="20"/>
              </w:rPr>
              <w:t>ytkowanie trasy</w:t>
            </w:r>
            <w:r w:rsidR="001822C4" w:rsidRPr="00E505F6">
              <w:rPr>
                <w:sz w:val="20"/>
                <w:szCs w:val="20"/>
              </w:rPr>
              <w:t xml:space="preserve">, a także </w:t>
            </w:r>
            <w:r w:rsidR="003A7944" w:rsidRPr="00E505F6">
              <w:rPr>
                <w:sz w:val="20"/>
                <w:szCs w:val="20"/>
              </w:rPr>
              <w:t xml:space="preserve">utworzenie elementów małej architektury. </w:t>
            </w:r>
            <w:r w:rsidR="00B15E30" w:rsidRPr="00E505F6">
              <w:rPr>
                <w:sz w:val="20"/>
                <w:szCs w:val="20"/>
              </w:rPr>
              <w:t xml:space="preserve"> </w:t>
            </w:r>
          </w:p>
          <w:p w:rsidR="00316D6B" w:rsidRPr="00E505F6" w:rsidRDefault="00316D6B" w:rsidP="00E22E17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</w:tcPr>
          <w:p w:rsidR="00E22E17" w:rsidRPr="00E505F6" w:rsidRDefault="00E22E17" w:rsidP="00E22E17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 </w:t>
            </w:r>
          </w:p>
          <w:p w:rsidR="00E22E17" w:rsidRPr="00E505F6" w:rsidRDefault="00E22E17" w:rsidP="00E22E17">
            <w:pPr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outlineLvl w:val="0"/>
              <w:rPr>
                <w:sz w:val="20"/>
                <w:szCs w:val="20"/>
              </w:rPr>
            </w:pPr>
          </w:p>
          <w:p w:rsidR="00316D6B" w:rsidRPr="00E505F6" w:rsidRDefault="00661FDE" w:rsidP="00E22E17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Projekt obejmuje rozbudowę bazy gastronomicznej i noclegowej dla grup szkolnych na terenie Gminy Ogrodzieniec. </w:t>
            </w:r>
            <w:r w:rsidR="00AA4DFD" w:rsidRPr="00E505F6">
              <w:rPr>
                <w:sz w:val="20"/>
                <w:szCs w:val="20"/>
              </w:rPr>
              <w:t xml:space="preserve">Obiekt ma służyć obsłudze ruchu turystycznego dzieci i młodzieży szkolnej. </w:t>
            </w:r>
            <w:r w:rsidR="003F3BBC" w:rsidRPr="00E505F6">
              <w:rPr>
                <w:sz w:val="20"/>
                <w:szCs w:val="20"/>
              </w:rPr>
              <w:t xml:space="preserve">Zakres rzeczowy projektu zakłada przebudowę i rozbudowę istniejącego budynku hotelowego.   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94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5264" w:type="dxa"/>
            <w:gridSpan w:val="5"/>
            <w:vAlign w:val="center"/>
          </w:tcPr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C2F82" w:rsidP="003C2F82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401 698,52 </w:t>
            </w:r>
            <w:r w:rsidRPr="00E505F6">
              <w:rPr>
                <w:sz w:val="20"/>
                <w:szCs w:val="20"/>
              </w:rPr>
              <w:t>EUR (</w:t>
            </w:r>
            <w:r w:rsidR="008A4C21" w:rsidRPr="00E505F6">
              <w:rPr>
                <w:sz w:val="20"/>
                <w:szCs w:val="20"/>
              </w:rPr>
              <w:t xml:space="preserve">1 645 678,48 </w:t>
            </w:r>
            <w:r w:rsidR="00E420C0" w:rsidRPr="00E505F6">
              <w:rPr>
                <w:sz w:val="20"/>
                <w:szCs w:val="20"/>
              </w:rPr>
              <w:t>PLN</w:t>
            </w:r>
            <w:r w:rsidRPr="00E505F6">
              <w:rPr>
                <w:sz w:val="20"/>
                <w:szCs w:val="20"/>
              </w:rPr>
              <w:t>)</w:t>
            </w: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22E17" w:rsidRPr="00E505F6" w:rsidRDefault="003C2F82" w:rsidP="003C2F82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352 627,84 </w:t>
            </w:r>
            <w:r w:rsidRPr="00E505F6">
              <w:rPr>
                <w:sz w:val="20"/>
                <w:szCs w:val="20"/>
              </w:rPr>
              <w:t>EUR (</w:t>
            </w:r>
            <w:r w:rsidR="007D38B7" w:rsidRPr="00E505F6">
              <w:rPr>
                <w:sz w:val="20"/>
                <w:szCs w:val="20"/>
              </w:rPr>
              <w:t xml:space="preserve">1 444 645,74 </w:t>
            </w:r>
            <w:r w:rsidR="00E22E17" w:rsidRPr="00E505F6">
              <w:rPr>
                <w:sz w:val="20"/>
                <w:szCs w:val="20"/>
              </w:rPr>
              <w:t>PLN</w:t>
            </w:r>
            <w:r w:rsidRPr="00E505F6">
              <w:rPr>
                <w:sz w:val="20"/>
                <w:szCs w:val="20"/>
              </w:rPr>
              <w:t>)</w:t>
            </w: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73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3C2F82" w:rsidP="003C2F82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126 531,24 </w:t>
            </w:r>
            <w:r w:rsidRPr="00E505F6">
              <w:rPr>
                <w:sz w:val="20"/>
                <w:szCs w:val="20"/>
              </w:rPr>
              <w:t>EUR (</w:t>
            </w:r>
            <w:r w:rsidR="006F2D15" w:rsidRPr="00E505F6">
              <w:rPr>
                <w:sz w:val="20"/>
                <w:szCs w:val="20"/>
              </w:rPr>
              <w:t xml:space="preserve">518 373,19 </w:t>
            </w:r>
            <w:r w:rsidR="00E22E17" w:rsidRPr="00E505F6">
              <w:rPr>
                <w:sz w:val="20"/>
                <w:szCs w:val="20"/>
              </w:rPr>
              <w:t>PLN</w:t>
            </w:r>
            <w:r w:rsidRPr="00E505F6">
              <w:rPr>
                <w:sz w:val="20"/>
                <w:szCs w:val="20"/>
              </w:rPr>
              <w:t>)</w:t>
            </w:r>
            <w:r w:rsidR="00E22E17" w:rsidRPr="00E505F6">
              <w:rPr>
                <w:sz w:val="20"/>
                <w:szCs w:val="20"/>
              </w:rPr>
              <w:t xml:space="preserve"> 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C2F82" w:rsidRPr="00E505F6" w:rsidRDefault="003C2F82" w:rsidP="003C2F8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22E17" w:rsidRPr="00E505F6" w:rsidRDefault="003C2F82" w:rsidP="003C2F82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245 286,81 </w:t>
            </w:r>
            <w:r w:rsidRPr="00E505F6">
              <w:rPr>
                <w:sz w:val="20"/>
                <w:szCs w:val="20"/>
              </w:rPr>
              <w:t>EUR (</w:t>
            </w:r>
            <w:r w:rsidR="007D38B7" w:rsidRPr="00E505F6">
              <w:rPr>
                <w:sz w:val="20"/>
                <w:szCs w:val="20"/>
              </w:rPr>
              <w:t xml:space="preserve">1 004 891,02 </w:t>
            </w:r>
            <w:r w:rsidR="00E22E17" w:rsidRPr="00E505F6">
              <w:rPr>
                <w:sz w:val="20"/>
                <w:szCs w:val="20"/>
              </w:rPr>
              <w:t>PLN</w:t>
            </w:r>
            <w:r w:rsidRPr="00E505F6">
              <w:rPr>
                <w:sz w:val="20"/>
                <w:szCs w:val="20"/>
              </w:rPr>
              <w:t>)</w:t>
            </w:r>
            <w:r w:rsidR="00E22E17" w:rsidRPr="00E505F6">
              <w:rPr>
                <w:sz w:val="20"/>
                <w:szCs w:val="20"/>
              </w:rPr>
              <w:t xml:space="preserve"> 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316D6B" w:rsidRPr="00E505F6" w:rsidRDefault="00316D6B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cantSplit/>
          <w:trHeight w:val="976"/>
        </w:trPr>
        <w:tc>
          <w:tcPr>
            <w:tcW w:w="1821" w:type="dxa"/>
            <w:vMerge w:val="restart"/>
            <w:vAlign w:val="center"/>
          </w:tcPr>
          <w:p w:rsidR="00E22E17" w:rsidRPr="00E505F6" w:rsidRDefault="009C1245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2.</w:t>
            </w:r>
          </w:p>
        </w:tc>
        <w:tc>
          <w:tcPr>
            <w:tcW w:w="10343" w:type="dxa"/>
            <w:gridSpan w:val="11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8" w:type="dxa"/>
            <w:gridSpan w:val="4"/>
            <w:vMerge w:val="restart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E22E17" w:rsidRPr="00E505F6" w:rsidTr="00911F43">
        <w:trPr>
          <w:cantSplit/>
          <w:trHeight w:val="421"/>
        </w:trPr>
        <w:tc>
          <w:tcPr>
            <w:tcW w:w="1821" w:type="dxa"/>
            <w:vMerge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5"/>
            <w:shd w:val="clear" w:color="auto" w:fill="92D050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9" w:type="dxa"/>
            <w:gridSpan w:val="6"/>
            <w:shd w:val="clear" w:color="auto" w:fill="92D050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998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Tytuł projektu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2F37B5" w:rsidP="002F37B5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Podniesienie atrakcyjności turystycznej Powiatu Żywieckiego poprzez rewitalizację czterech zabytkowych pomieszczeń w Nowym Zamku Habsburgów w Żywcu</w:t>
            </w:r>
            <w:r w:rsidR="002F0DC9" w:rsidRPr="00E505F6">
              <w:rPr>
                <w:sz w:val="20"/>
                <w:szCs w:val="20"/>
              </w:rPr>
              <w:t>.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D432F8" w:rsidP="00D432F8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Od Komorowskich do Habsburgów - utworzenie historycznego parku tematycznego w Żywcu</w:t>
            </w:r>
            <w:r w:rsidR="002F0DC9" w:rsidRPr="00E505F6">
              <w:rPr>
                <w:sz w:val="20"/>
                <w:szCs w:val="20"/>
              </w:rPr>
              <w:t>.</w:t>
            </w:r>
          </w:p>
        </w:tc>
        <w:tc>
          <w:tcPr>
            <w:tcW w:w="4138" w:type="dxa"/>
            <w:gridSpan w:val="4"/>
            <w:vMerge w:val="restart"/>
          </w:tcPr>
          <w:p w:rsidR="007F20F9" w:rsidRPr="00E505F6" w:rsidRDefault="007F20F9" w:rsidP="007F20F9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7F20F9" w:rsidRPr="00E505F6" w:rsidRDefault="007F20F9" w:rsidP="007F20F9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0075C" w:rsidRPr="00E505F6" w:rsidRDefault="007F20F9" w:rsidP="007F20F9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Celem projektów jest uatrakcyjnienie oferty turystycznej </w:t>
            </w:r>
            <w:r w:rsidR="00042556" w:rsidRPr="00E505F6">
              <w:rPr>
                <w:rFonts w:ascii="Times New Roman" w:hAnsi="Times New Roman"/>
                <w:sz w:val="20"/>
                <w:szCs w:val="20"/>
              </w:rPr>
              <w:t xml:space="preserve">i wzrost liczby turystów na terenie </w:t>
            </w:r>
            <w:r w:rsidR="001E4B78" w:rsidRPr="00E505F6">
              <w:rPr>
                <w:rFonts w:ascii="Times New Roman" w:hAnsi="Times New Roman"/>
                <w:sz w:val="20"/>
                <w:szCs w:val="20"/>
              </w:rPr>
              <w:t>Powiatu Żywieckiego</w:t>
            </w:r>
            <w:r w:rsidRPr="00E505F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05773" w:rsidRPr="00E505F6">
              <w:rPr>
                <w:rFonts w:ascii="Times New Roman" w:hAnsi="Times New Roman"/>
                <w:sz w:val="20"/>
                <w:szCs w:val="20"/>
              </w:rPr>
              <w:t xml:space="preserve">W ramach projektu „Od Komorowskich do Habsburgów - utworzenie historycznego parku tematycznego w Żywcu” obiekt nowego Zamku Habsburgów został </w:t>
            </w:r>
            <w:r w:rsidR="00964E15" w:rsidRPr="00E505F6">
              <w:rPr>
                <w:rFonts w:ascii="Times New Roman" w:hAnsi="Times New Roman"/>
                <w:sz w:val="20"/>
                <w:szCs w:val="20"/>
              </w:rPr>
              <w:t xml:space="preserve">odrestaurowany z zewnątrz, natomiast w ramach projektu „Podniesienie atrakcyjności turystycznej Powiatu Żywieckiego poprzez rewitalizację czterech zabytkowych pomieszczeń w Nowym Zamku Habsburgów w Żywcu” </w:t>
            </w:r>
            <w:r w:rsidR="009A6050" w:rsidRPr="00E505F6">
              <w:rPr>
                <w:rFonts w:ascii="Times New Roman" w:hAnsi="Times New Roman"/>
                <w:sz w:val="20"/>
                <w:szCs w:val="20"/>
              </w:rPr>
              <w:t xml:space="preserve">zostaną wyremontowane pomieszczenia wewnętrzne. </w:t>
            </w:r>
            <w:r w:rsidR="002A07BD" w:rsidRPr="00E505F6">
              <w:rPr>
                <w:rFonts w:ascii="Times New Roman" w:hAnsi="Times New Roman"/>
                <w:sz w:val="20"/>
                <w:szCs w:val="20"/>
              </w:rPr>
              <w:t xml:space="preserve">Po przeprowadzeniu prac założonych w obu projektach obiekt będzie w całości udostępniony turystom. </w:t>
            </w:r>
            <w:r w:rsidR="00E0075C" w:rsidRPr="00E505F6">
              <w:rPr>
                <w:rFonts w:ascii="Times New Roman" w:hAnsi="Times New Roman"/>
                <w:sz w:val="20"/>
                <w:szCs w:val="20"/>
              </w:rPr>
              <w:t xml:space="preserve">Całość złoży się na </w:t>
            </w:r>
            <w:r w:rsidR="0056230A" w:rsidRPr="00E505F6">
              <w:rPr>
                <w:rFonts w:ascii="Times New Roman" w:hAnsi="Times New Roman"/>
                <w:sz w:val="20"/>
                <w:szCs w:val="20"/>
              </w:rPr>
              <w:t xml:space="preserve">wykreowanie atrakcyjnego produktu turystycznego Powiatu Żywieckiego. </w:t>
            </w:r>
          </w:p>
          <w:p w:rsidR="00180BBE" w:rsidRPr="00E505F6" w:rsidRDefault="00180BBE" w:rsidP="0056230A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738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5"/>
            <w:vAlign w:val="center"/>
          </w:tcPr>
          <w:p w:rsidR="002F37B5" w:rsidRPr="00E505F6" w:rsidRDefault="002F37B5" w:rsidP="002F37B5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Powiat Żywiecki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D432F8" w:rsidRPr="00E505F6" w:rsidRDefault="00D432F8" w:rsidP="00D432F8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Powiat Żywiecki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994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4" w:type="dxa"/>
            <w:gridSpan w:val="5"/>
          </w:tcPr>
          <w:p w:rsidR="002F37B5" w:rsidRPr="00E505F6" w:rsidRDefault="00E22E17" w:rsidP="002F37B5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br/>
            </w:r>
            <w:r w:rsidR="002F37B5" w:rsidRPr="00E505F6">
              <w:rPr>
                <w:sz w:val="20"/>
                <w:szCs w:val="20"/>
              </w:rPr>
              <w:t>III. Turystyka</w:t>
            </w:r>
          </w:p>
          <w:p w:rsidR="002F37B5" w:rsidRPr="00E505F6" w:rsidRDefault="002F37B5" w:rsidP="002F37B5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Infrastruktura okołoturystyczna</w:t>
            </w:r>
          </w:p>
          <w:p w:rsidR="002E6938" w:rsidRPr="00E505F6" w:rsidRDefault="002F37B5" w:rsidP="002F37B5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2. Infrastruktura okołoturystyczna - podmioty publiczne</w:t>
            </w: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</w:tcPr>
          <w:p w:rsidR="00884017" w:rsidRPr="00E505F6" w:rsidRDefault="00E22E17" w:rsidP="008840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br/>
            </w:r>
            <w:r w:rsidR="00884017" w:rsidRPr="00E505F6">
              <w:rPr>
                <w:sz w:val="20"/>
                <w:szCs w:val="20"/>
              </w:rPr>
              <w:t>III. Turystyka</w:t>
            </w:r>
          </w:p>
          <w:p w:rsidR="00884017" w:rsidRPr="00E505F6" w:rsidRDefault="00884017" w:rsidP="008840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Infrastruktura okołoturystyczna</w:t>
            </w:r>
          </w:p>
          <w:p w:rsidR="00884017" w:rsidRPr="00E505F6" w:rsidRDefault="00884017" w:rsidP="008840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2. Infrastruktura okołoturystyczna - podmioty publiczne</w:t>
            </w:r>
          </w:p>
          <w:p w:rsidR="002E6938" w:rsidRPr="00E505F6" w:rsidRDefault="002E6938" w:rsidP="002E6938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833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2247FA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2012-06-17 -2013-09-30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4625D3" w:rsidP="00E22E1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2009-04-16- 2011-12-27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695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4" w:type="dxa"/>
            <w:gridSpan w:val="5"/>
          </w:tcPr>
          <w:p w:rsidR="00DE45CB" w:rsidRPr="00E505F6" w:rsidRDefault="00DE45CB" w:rsidP="002E6938">
            <w:pPr>
              <w:ind w:left="720"/>
              <w:outlineLvl w:val="0"/>
              <w:rPr>
                <w:sz w:val="20"/>
                <w:szCs w:val="20"/>
              </w:rPr>
            </w:pPr>
          </w:p>
          <w:p w:rsidR="00E22E17" w:rsidRPr="00E505F6" w:rsidRDefault="00DE45CB" w:rsidP="00B9020C">
            <w:pPr>
              <w:ind w:left="720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projektu jest podniesienie atrakcyjności turystycznej Powiatu Żywieckiego poprzez rewitalizację czterech zabytkowych pomieszczeń</w:t>
            </w:r>
            <w:r w:rsidR="00B9020C" w:rsidRPr="00E505F6">
              <w:rPr>
                <w:sz w:val="20"/>
                <w:szCs w:val="20"/>
              </w:rPr>
              <w:t>,</w:t>
            </w:r>
            <w:r w:rsidRPr="00E505F6">
              <w:rPr>
                <w:sz w:val="20"/>
                <w:szCs w:val="20"/>
              </w:rPr>
              <w:t xml:space="preserve"> </w:t>
            </w:r>
            <w:r w:rsidR="003B55C5" w:rsidRPr="00E505F6">
              <w:rPr>
                <w:sz w:val="20"/>
                <w:szCs w:val="20"/>
              </w:rPr>
              <w:t>znajdujących się w Nowym Zamku</w:t>
            </w:r>
            <w:r w:rsidR="006C5320" w:rsidRPr="00E505F6">
              <w:rPr>
                <w:sz w:val="20"/>
                <w:szCs w:val="20"/>
              </w:rPr>
              <w:t xml:space="preserve"> Habsburgów</w:t>
            </w:r>
            <w:r w:rsidR="00B9020C" w:rsidRPr="00E505F6">
              <w:rPr>
                <w:sz w:val="20"/>
                <w:szCs w:val="20"/>
              </w:rPr>
              <w:t xml:space="preserve"> w Żywcu i przywrócenie ich do dawnej świetności. </w:t>
            </w:r>
          </w:p>
        </w:tc>
        <w:tc>
          <w:tcPr>
            <w:tcW w:w="5079" w:type="dxa"/>
            <w:gridSpan w:val="6"/>
          </w:tcPr>
          <w:p w:rsidR="00C03104" w:rsidRPr="00E505F6" w:rsidRDefault="00C03104" w:rsidP="00E22E17">
            <w:pPr>
              <w:ind w:left="720"/>
              <w:outlineLvl w:val="0"/>
              <w:rPr>
                <w:sz w:val="20"/>
                <w:szCs w:val="20"/>
              </w:rPr>
            </w:pPr>
          </w:p>
          <w:p w:rsidR="00E22E17" w:rsidRPr="00E505F6" w:rsidRDefault="00C03104" w:rsidP="00C03104">
            <w:pPr>
              <w:ind w:left="720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Celem projektu jest  utworzenie historycznego parku tematycznego w Żywcu „Od Komorowskich do Habsburgów”. </w:t>
            </w:r>
            <w:r w:rsidR="00FF1443" w:rsidRPr="00E505F6">
              <w:rPr>
                <w:sz w:val="20"/>
                <w:szCs w:val="20"/>
              </w:rPr>
              <w:t>Zakres rzeczowy zakłada odrestaurowanie elewacji i dachu Nowego Zamku Habsburgów w Żywcu wraz z remontem pomieszczeń na sale ekspozycyjne</w:t>
            </w:r>
            <w:r w:rsidR="000F3F7E" w:rsidRPr="00E505F6">
              <w:rPr>
                <w:sz w:val="20"/>
                <w:szCs w:val="20"/>
              </w:rPr>
              <w:t xml:space="preserve">, wykonanie i montaż miniatur i makiet na potrzeby parku tematycznego. 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925"/>
        </w:trPr>
        <w:tc>
          <w:tcPr>
            <w:tcW w:w="1821" w:type="dxa"/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5264" w:type="dxa"/>
            <w:gridSpan w:val="5"/>
            <w:vAlign w:val="center"/>
          </w:tcPr>
          <w:p w:rsidR="00E22E17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244 092,95 </w:t>
            </w:r>
            <w:r w:rsidRPr="00E505F6">
              <w:rPr>
                <w:sz w:val="20"/>
                <w:szCs w:val="20"/>
              </w:rPr>
              <w:t>EUR (</w:t>
            </w:r>
            <w:r w:rsidR="00197307" w:rsidRPr="00E505F6">
              <w:rPr>
                <w:sz w:val="20"/>
                <w:szCs w:val="20"/>
              </w:rPr>
              <w:t>1 000 000,00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9" w:type="dxa"/>
            <w:gridSpan w:val="6"/>
            <w:vAlign w:val="center"/>
          </w:tcPr>
          <w:p w:rsidR="00E22E17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2 943 793,93 </w:t>
            </w:r>
            <w:r w:rsidRPr="00E505F6">
              <w:rPr>
                <w:sz w:val="20"/>
                <w:szCs w:val="20"/>
              </w:rPr>
              <w:t>EUR (</w:t>
            </w:r>
            <w:r w:rsidR="00E538A4" w:rsidRPr="00E505F6">
              <w:rPr>
                <w:sz w:val="20"/>
                <w:szCs w:val="20"/>
              </w:rPr>
              <w:t>12 060 134,96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8" w:type="dxa"/>
            <w:gridSpan w:val="4"/>
            <w:vMerge/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22E17" w:rsidRPr="00E505F6" w:rsidTr="00911F43">
        <w:trPr>
          <w:trHeight w:val="1250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E22E17" w:rsidRPr="00E505F6" w:rsidRDefault="00E22E17" w:rsidP="00E22E1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5"/>
            <w:tcBorders>
              <w:bottom w:val="single" w:sz="4" w:space="0" w:color="auto"/>
            </w:tcBorders>
            <w:vAlign w:val="center"/>
          </w:tcPr>
          <w:p w:rsidR="00E22E17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207 479,01 </w:t>
            </w:r>
            <w:r w:rsidRPr="00E505F6">
              <w:rPr>
                <w:sz w:val="20"/>
                <w:szCs w:val="20"/>
              </w:rPr>
              <w:t>EUR (</w:t>
            </w:r>
            <w:r w:rsidR="00197307" w:rsidRPr="00E505F6">
              <w:rPr>
                <w:sz w:val="20"/>
                <w:szCs w:val="20"/>
              </w:rPr>
              <w:t>850 000,00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9" w:type="dxa"/>
            <w:gridSpan w:val="6"/>
            <w:tcBorders>
              <w:bottom w:val="single" w:sz="4" w:space="0" w:color="auto"/>
            </w:tcBorders>
            <w:vAlign w:val="center"/>
          </w:tcPr>
          <w:p w:rsidR="00E22E17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2 484 721,93 </w:t>
            </w:r>
            <w:r w:rsidRPr="00E505F6">
              <w:rPr>
                <w:sz w:val="20"/>
                <w:szCs w:val="20"/>
              </w:rPr>
              <w:t>EUR (</w:t>
            </w:r>
            <w:r w:rsidR="00E538A4" w:rsidRPr="00E505F6">
              <w:rPr>
                <w:sz w:val="20"/>
                <w:szCs w:val="20"/>
              </w:rPr>
              <w:t>10 179 408,80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8" w:type="dxa"/>
            <w:gridSpan w:val="4"/>
            <w:vMerge/>
            <w:tcBorders>
              <w:bottom w:val="single" w:sz="4" w:space="0" w:color="auto"/>
            </w:tcBorders>
          </w:tcPr>
          <w:p w:rsidR="00E22E17" w:rsidRPr="00E505F6" w:rsidRDefault="00E22E17" w:rsidP="00E22E1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976"/>
        </w:trPr>
        <w:tc>
          <w:tcPr>
            <w:tcW w:w="1821" w:type="dxa"/>
            <w:vMerge w:val="restart"/>
            <w:vAlign w:val="center"/>
          </w:tcPr>
          <w:p w:rsidR="003061F3" w:rsidRPr="00E505F6" w:rsidRDefault="009C1245" w:rsidP="000F1612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</w:t>
            </w:r>
          </w:p>
        </w:tc>
        <w:tc>
          <w:tcPr>
            <w:tcW w:w="10367" w:type="dxa"/>
            <w:gridSpan w:val="12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14" w:type="dxa"/>
            <w:gridSpan w:val="3"/>
            <w:shd w:val="clear" w:color="auto" w:fill="92D050"/>
            <w:vAlign w:val="center"/>
          </w:tcPr>
          <w:p w:rsidR="003061F3" w:rsidRPr="00E505F6" w:rsidRDefault="003061F3" w:rsidP="009C1245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3061F3" w:rsidRPr="00E505F6" w:rsidTr="00911F43">
        <w:trPr>
          <w:trHeight w:val="421"/>
        </w:trPr>
        <w:tc>
          <w:tcPr>
            <w:tcW w:w="1821" w:type="dxa"/>
            <w:vMerge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5"/>
            <w:shd w:val="clear" w:color="auto" w:fill="92D050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56" w:type="dxa"/>
            <w:gridSpan w:val="5"/>
            <w:shd w:val="clear" w:color="auto" w:fill="92D050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</w:tc>
        <w:tc>
          <w:tcPr>
            <w:tcW w:w="4161" w:type="dxa"/>
            <w:gridSpan w:val="5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1552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9C54F3" w:rsidP="000F1612">
            <w:pPr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Adaptacja w śladzie po zlikwidowanym torowisku jednostronnego ciągu rowerowo - pieszego wzdłuż ul. Siemianowickiej w Chorzowie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5440C4" w:rsidP="000F1612">
            <w:pPr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Regionalny Obszar Rekreacyjno-Turystyczny - trasy rowerowe drogą do rozwoju turystyki aktywnej w Chorzowie</w:t>
            </w:r>
          </w:p>
        </w:tc>
        <w:tc>
          <w:tcPr>
            <w:tcW w:w="4161" w:type="dxa"/>
            <w:gridSpan w:val="5"/>
            <w:vMerge w:val="restart"/>
          </w:tcPr>
          <w:p w:rsidR="003061F3" w:rsidRPr="00E505F6" w:rsidRDefault="003061F3" w:rsidP="00E10A8C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E10A8C" w:rsidRPr="00E505F6" w:rsidRDefault="00E10A8C" w:rsidP="00E10A8C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Projekty zakładają </w:t>
            </w:r>
            <w:r w:rsidR="00CF4C17" w:rsidRPr="00E505F6">
              <w:rPr>
                <w:rFonts w:ascii="Times New Roman" w:hAnsi="Times New Roman"/>
                <w:sz w:val="20"/>
                <w:szCs w:val="20"/>
              </w:rPr>
              <w:t>roz</w:t>
            </w:r>
            <w:r w:rsidRPr="00E505F6">
              <w:rPr>
                <w:rFonts w:ascii="Times New Roman" w:hAnsi="Times New Roman"/>
                <w:sz w:val="20"/>
                <w:szCs w:val="20"/>
              </w:rPr>
              <w:t>budowę sieci tras rowerowych na terenie miasta Chorzów.</w:t>
            </w:r>
            <w:r w:rsidR="008705C0" w:rsidRPr="00E50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0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4F81" w:rsidRPr="00E505F6">
              <w:rPr>
                <w:rFonts w:ascii="Times New Roman" w:hAnsi="Times New Roman"/>
                <w:sz w:val="20"/>
                <w:szCs w:val="20"/>
              </w:rPr>
              <w:t xml:space="preserve">Projekty mają na celu uatrakcyjnienie miasta w zakresie infrastruktury aktywnych form turystyki. </w:t>
            </w:r>
            <w:r w:rsidRPr="00E505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61F3" w:rsidRPr="00E505F6" w:rsidTr="00911F43">
        <w:trPr>
          <w:trHeight w:val="738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5"/>
            <w:vAlign w:val="center"/>
          </w:tcPr>
          <w:p w:rsidR="000505D2" w:rsidRPr="00E505F6" w:rsidRDefault="000505D2" w:rsidP="000505D2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Miasto Chorzów</w:t>
            </w:r>
          </w:p>
          <w:p w:rsidR="003061F3" w:rsidRPr="00E505F6" w:rsidRDefault="003061F3" w:rsidP="000F1612">
            <w:pPr>
              <w:jc w:val="center"/>
              <w:outlineLvl w:val="0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056" w:type="dxa"/>
            <w:gridSpan w:val="5"/>
            <w:vAlign w:val="center"/>
          </w:tcPr>
          <w:p w:rsidR="007B1712" w:rsidRPr="00E505F6" w:rsidRDefault="007B1712" w:rsidP="007B1712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Miasto Chorzów</w:t>
            </w:r>
          </w:p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994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4" w:type="dxa"/>
            <w:gridSpan w:val="5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</w:p>
          <w:p w:rsidR="000A2EDA" w:rsidRPr="00E505F6" w:rsidRDefault="000A2EDA" w:rsidP="000A2EDA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III. Turystyka</w:t>
            </w:r>
          </w:p>
          <w:p w:rsidR="000A2EDA" w:rsidRPr="00E505F6" w:rsidRDefault="000A2EDA" w:rsidP="000A2EDA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Infrastruktura okołoturystyczna</w:t>
            </w:r>
          </w:p>
          <w:p w:rsidR="000A2EDA" w:rsidRPr="00E505F6" w:rsidRDefault="000A2EDA" w:rsidP="000A2EDA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2. Infrastruktura okołoturystyczna - podmioty publiczne</w:t>
            </w:r>
          </w:p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056" w:type="dxa"/>
            <w:gridSpan w:val="5"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</w:p>
          <w:p w:rsidR="003662B6" w:rsidRPr="00E505F6" w:rsidRDefault="003662B6" w:rsidP="003662B6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III. Turystyka</w:t>
            </w:r>
          </w:p>
          <w:p w:rsidR="003662B6" w:rsidRPr="00E505F6" w:rsidRDefault="003662B6" w:rsidP="003662B6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Infrastruktura okołoturystyczna</w:t>
            </w:r>
          </w:p>
          <w:p w:rsidR="003662B6" w:rsidRPr="00E505F6" w:rsidRDefault="003662B6" w:rsidP="003662B6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3.2. 2. Infrastruktura okołoturystyczna - podmioty publiczne</w:t>
            </w:r>
          </w:p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833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740E81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2012-07-10 – 2012-12-31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852104" w:rsidP="000F1612">
            <w:pPr>
              <w:jc w:val="center"/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>2010-07-27 – 2010-</w:t>
            </w:r>
            <w:r w:rsidR="00363531" w:rsidRPr="00E505F6">
              <w:rPr>
                <w:sz w:val="20"/>
                <w:szCs w:val="20"/>
              </w:rPr>
              <w:t>10-</w:t>
            </w:r>
            <w:r w:rsidRPr="00E505F6">
              <w:rPr>
                <w:sz w:val="20"/>
                <w:szCs w:val="20"/>
              </w:rPr>
              <w:t>30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1164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Cele projektu</w:t>
            </w:r>
          </w:p>
        </w:tc>
        <w:tc>
          <w:tcPr>
            <w:tcW w:w="5264" w:type="dxa"/>
            <w:gridSpan w:val="5"/>
          </w:tcPr>
          <w:p w:rsidR="00DC5B41" w:rsidRPr="00E505F6" w:rsidRDefault="00DC5B41" w:rsidP="00D47038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 </w:t>
            </w:r>
          </w:p>
          <w:p w:rsidR="00DC5B41" w:rsidRPr="00E505F6" w:rsidRDefault="00DC5B41" w:rsidP="00563B28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projektu jest budowa</w:t>
            </w:r>
            <w:r w:rsidR="00563B28" w:rsidRPr="00E505F6">
              <w:rPr>
                <w:sz w:val="20"/>
                <w:szCs w:val="20"/>
              </w:rPr>
              <w:t xml:space="preserve"> i oznakowanie</w:t>
            </w:r>
            <w:r w:rsidRPr="00E505F6">
              <w:rPr>
                <w:sz w:val="20"/>
                <w:szCs w:val="20"/>
              </w:rPr>
              <w:t xml:space="preserve"> nowego ciągu pieszo-rowerowego na terenie Chorzowa</w:t>
            </w:r>
            <w:r w:rsidR="00563B28" w:rsidRPr="00E505F6">
              <w:rPr>
                <w:sz w:val="20"/>
                <w:szCs w:val="20"/>
              </w:rPr>
              <w:t xml:space="preserve">. </w:t>
            </w:r>
            <w:r w:rsidRPr="00E505F6">
              <w:rPr>
                <w:sz w:val="20"/>
                <w:szCs w:val="20"/>
              </w:rPr>
              <w:t xml:space="preserve"> </w:t>
            </w:r>
          </w:p>
          <w:p w:rsidR="00563B28" w:rsidRPr="00E505F6" w:rsidRDefault="00563B28" w:rsidP="00563B28">
            <w:pPr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056" w:type="dxa"/>
            <w:gridSpan w:val="5"/>
          </w:tcPr>
          <w:p w:rsidR="003061F3" w:rsidRPr="00E505F6" w:rsidRDefault="003061F3" w:rsidP="00BC11EA">
            <w:pPr>
              <w:outlineLvl w:val="0"/>
              <w:rPr>
                <w:sz w:val="20"/>
                <w:szCs w:val="20"/>
                <w:highlight w:val="yellow"/>
              </w:rPr>
            </w:pPr>
          </w:p>
          <w:p w:rsidR="00A01857" w:rsidRPr="00E505F6" w:rsidRDefault="00A01857" w:rsidP="00BC11EA">
            <w:pPr>
              <w:outlineLvl w:val="0"/>
              <w:rPr>
                <w:sz w:val="20"/>
                <w:szCs w:val="20"/>
                <w:highlight w:val="yellow"/>
              </w:rPr>
            </w:pPr>
            <w:r w:rsidRPr="00E505F6">
              <w:rPr>
                <w:sz w:val="20"/>
                <w:szCs w:val="20"/>
              </w:rPr>
              <w:t xml:space="preserve">Projekt zakłada budowę i oznakowanie trasy rowerowej na terenie Chorzowa. 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925"/>
        </w:trPr>
        <w:tc>
          <w:tcPr>
            <w:tcW w:w="1821" w:type="dxa"/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5264" w:type="dxa"/>
            <w:gridSpan w:val="5"/>
            <w:vAlign w:val="center"/>
          </w:tcPr>
          <w:p w:rsidR="003061F3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206 257,90 </w:t>
            </w:r>
            <w:r w:rsidRPr="00E505F6">
              <w:rPr>
                <w:sz w:val="20"/>
                <w:szCs w:val="20"/>
              </w:rPr>
              <w:t>EUR (</w:t>
            </w:r>
            <w:r w:rsidR="002018A7" w:rsidRPr="00E505F6">
              <w:rPr>
                <w:sz w:val="20"/>
                <w:szCs w:val="20"/>
              </w:rPr>
              <w:t>844 997,38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56" w:type="dxa"/>
            <w:gridSpan w:val="5"/>
            <w:vAlign w:val="center"/>
          </w:tcPr>
          <w:p w:rsidR="003061F3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120 063,83 </w:t>
            </w:r>
            <w:r w:rsidRPr="00E505F6">
              <w:rPr>
                <w:sz w:val="20"/>
                <w:szCs w:val="20"/>
              </w:rPr>
              <w:t>EUR (</w:t>
            </w:r>
            <w:r w:rsidR="00DF15DA" w:rsidRPr="00E505F6">
              <w:rPr>
                <w:sz w:val="20"/>
                <w:szCs w:val="20"/>
              </w:rPr>
              <w:t>491 877,50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61" w:type="dxa"/>
            <w:gridSpan w:val="5"/>
            <w:vMerge/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061F3" w:rsidRPr="00E505F6" w:rsidTr="00911F43">
        <w:trPr>
          <w:trHeight w:val="1283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061F3" w:rsidRPr="00E505F6" w:rsidRDefault="003061F3" w:rsidP="000F1612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5"/>
            <w:tcBorders>
              <w:bottom w:val="single" w:sz="4" w:space="0" w:color="auto"/>
            </w:tcBorders>
            <w:vAlign w:val="center"/>
          </w:tcPr>
          <w:p w:rsidR="003061F3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175 319,22 </w:t>
            </w:r>
            <w:r w:rsidRPr="00E505F6">
              <w:rPr>
                <w:sz w:val="20"/>
                <w:szCs w:val="20"/>
              </w:rPr>
              <w:t>EUR (</w:t>
            </w:r>
            <w:r w:rsidR="002018A7" w:rsidRPr="00E505F6">
              <w:rPr>
                <w:sz w:val="20"/>
                <w:szCs w:val="20"/>
              </w:rPr>
              <w:t>718 247,77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56" w:type="dxa"/>
            <w:gridSpan w:val="5"/>
            <w:tcBorders>
              <w:bottom w:val="single" w:sz="4" w:space="0" w:color="auto"/>
            </w:tcBorders>
            <w:vAlign w:val="center"/>
          </w:tcPr>
          <w:p w:rsidR="003061F3" w:rsidRPr="00E505F6" w:rsidRDefault="00DD7BCF" w:rsidP="00DD7BCF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102 054,25 </w:t>
            </w:r>
            <w:r w:rsidRPr="00E505F6">
              <w:rPr>
                <w:sz w:val="20"/>
                <w:szCs w:val="20"/>
              </w:rPr>
              <w:t>EUR (</w:t>
            </w:r>
            <w:r w:rsidR="00DF15DA" w:rsidRPr="00E505F6">
              <w:rPr>
                <w:sz w:val="20"/>
                <w:szCs w:val="20"/>
              </w:rPr>
              <w:t>418 095,87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61" w:type="dxa"/>
            <w:gridSpan w:val="5"/>
            <w:vMerge/>
            <w:tcBorders>
              <w:bottom w:val="single" w:sz="4" w:space="0" w:color="auto"/>
            </w:tcBorders>
          </w:tcPr>
          <w:p w:rsidR="003061F3" w:rsidRPr="00E505F6" w:rsidRDefault="003061F3" w:rsidP="000F1612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573"/>
        </w:trPr>
        <w:tc>
          <w:tcPr>
            <w:tcW w:w="1821" w:type="dxa"/>
            <w:vMerge w:val="restart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4.</w:t>
            </w:r>
          </w:p>
        </w:tc>
        <w:tc>
          <w:tcPr>
            <w:tcW w:w="10343" w:type="dxa"/>
            <w:gridSpan w:val="11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8" w:type="dxa"/>
            <w:gridSpan w:val="4"/>
            <w:vMerge w:val="restart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9C1245" w:rsidRPr="00E505F6" w:rsidTr="00911F43">
        <w:trPr>
          <w:trHeight w:val="591"/>
        </w:trPr>
        <w:tc>
          <w:tcPr>
            <w:tcW w:w="1821" w:type="dxa"/>
            <w:vMerge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5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9" w:type="dxa"/>
            <w:gridSpan w:val="6"/>
            <w:shd w:val="clear" w:color="auto" w:fill="92D050"/>
            <w:vAlign w:val="center"/>
          </w:tcPr>
          <w:p w:rsidR="009C1245" w:rsidRPr="00E505F6" w:rsidRDefault="009C1245" w:rsidP="00604BC9">
            <w:pPr>
              <w:outlineLvl w:val="0"/>
              <w:rPr>
                <w:b/>
                <w:sz w:val="20"/>
                <w:szCs w:val="20"/>
              </w:rPr>
            </w:pP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172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Przebudowa wiaduktu na ul. Żorskiej w ciągu DW 935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Przebudowa ul. Żorskiej w ciągu DW 935 na odcinku od Ronda Boguszowickiego do granic miasta</w:t>
            </w:r>
          </w:p>
        </w:tc>
        <w:tc>
          <w:tcPr>
            <w:tcW w:w="4138" w:type="dxa"/>
            <w:gridSpan w:val="4"/>
            <w:vMerge w:val="restart"/>
            <w:vAlign w:val="center"/>
          </w:tcPr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Przedmiotowe projekty charakteryzuje jeden wspólny cel, jakim jest poprawa funkcjonalności i parametrów technicznych układu kluczowych elementów sieci drogowej. Aby osiągnąć szeroki długofalowy efekt, przedstawione inwestycje polegające na rozbudowie kluczowych elementów sieci drogowej zostały zaplanowane w sposób kompleksowy, o szerokim zasięgu i możliwie najszerszym oddziaływaniu. </w:t>
            </w: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Planowany do przebudowy wiadukt drogowy znajduje się w ciągu przebudowywanej w ramach projektu kluczowego ulicy Żorskiej. Realizacja obu projektów pozwoli na stworzenie ciągu drogowego, którym w ciągu najbliższych kilkunastu lat będzie się odbywał ruch w kierunku głównego węzła autostrady A1 obsługującego Miasto Rybnik. </w:t>
            </w: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718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Rybnik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Rybnik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812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7.1 Modernizacja i rozbudowa kluczowych elementów sieci drogowych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7.1  Modernizacja i rozbudowa kluczowych elementów sieci drogowych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012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Okres realizacji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15.03.2012 – 30.11.2012</w:t>
            </w:r>
          </w:p>
        </w:tc>
        <w:tc>
          <w:tcPr>
            <w:tcW w:w="5079" w:type="dxa"/>
            <w:gridSpan w:val="6"/>
            <w:shd w:val="clear" w:color="auto" w:fill="auto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05.11.2010 – 30.04.2013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164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Cele projektu</w:t>
            </w:r>
          </w:p>
        </w:tc>
        <w:tc>
          <w:tcPr>
            <w:tcW w:w="5264" w:type="dxa"/>
            <w:gridSpan w:val="5"/>
          </w:tcPr>
          <w:p w:rsidR="009C1245" w:rsidRPr="00E505F6" w:rsidRDefault="009C1245" w:rsidP="00604BC9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Przedmiotem niniejszego projektu jest przebudowa wiaduktu drogowego usytuowanego w ciągu ul. Żorskiej (DW 935) w Rybniku.</w:t>
            </w:r>
          </w:p>
          <w:p w:rsidR="009C1245" w:rsidRPr="00E505F6" w:rsidRDefault="009C1245" w:rsidP="00604BC9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bezpośrednim niniejszego projektu jest udrożnienie sieci drogowej województwa poprzez modernizację kluczowego elementu sieci drogowej jakim jest wiadukt nad koleją na ul. Żorskiej w Rybniku w ciągu drogi wojewódzkiej nr 935 Racibórz – Rybnik – Żory - Pszczyna.</w:t>
            </w:r>
          </w:p>
        </w:tc>
        <w:tc>
          <w:tcPr>
            <w:tcW w:w="5079" w:type="dxa"/>
            <w:gridSpan w:val="6"/>
          </w:tcPr>
          <w:p w:rsidR="009C1245" w:rsidRPr="00E505F6" w:rsidRDefault="009C1245" w:rsidP="00604BC9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Przedmiotem niniejszego projektu jest przebudowa ul. Żorskiej w Rybniku (droga wojewódzka nr 935) wraz z przynależną infrastrukturą techniczną w obrębie pasa drogowego na odcinku 4,3 km (od Ronda Boguszowickiego do granic miasta). Projekt jest jednym z czterech zadań Projektu Kluczowego pn. „Usprawnienie ruchu tranzytowego w Subregionie Zachodnim - budowa obwodnic w Rybniku i Żorach wraz z modernizacją DW 935" realizowanego pozakonkursową ścieżką realizacji projektów w ramach Priorytetu VII Regionalnego Programu Operacyjnego Województwa Śląskiego na lata 2007-2013. Podstawowym celem wszystkich zadań w ramach projektu kluczowego jest dostosowanie poszczególnych elementów układu drogowego w Rybniku i Żorach do powstającej obecnie autostrady A1.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203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6363B6" w:rsidP="006363B6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1 309 883,78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5 366 331,86</w:t>
            </w:r>
            <w:r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6363B6" w:rsidP="006363B6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7 351 995,37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30 119 654,63</w:t>
            </w:r>
            <w:r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731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9C1245" w:rsidRPr="00E505F6" w:rsidRDefault="006363B6" w:rsidP="006363B6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1 113 401,21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4 561 382,08</w:t>
            </w:r>
            <w:r w:rsidRPr="00E505F6">
              <w:rPr>
                <w:sz w:val="20"/>
                <w:szCs w:val="20"/>
              </w:rPr>
              <w:t xml:space="preserve"> PLN)</w:t>
            </w:r>
          </w:p>
          <w:p w:rsidR="009C1245" w:rsidRPr="00E505F6" w:rsidRDefault="009C1245" w:rsidP="009C1245">
            <w:pPr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6363B6" w:rsidP="006363B6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6 129 400,60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25 110 928,37</w:t>
            </w:r>
            <w:r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cantSplit/>
          <w:trHeight w:val="976"/>
        </w:trPr>
        <w:tc>
          <w:tcPr>
            <w:tcW w:w="1821" w:type="dxa"/>
            <w:vMerge w:val="restart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5.</w:t>
            </w:r>
          </w:p>
        </w:tc>
        <w:tc>
          <w:tcPr>
            <w:tcW w:w="10343" w:type="dxa"/>
            <w:gridSpan w:val="11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8" w:type="dxa"/>
            <w:gridSpan w:val="4"/>
            <w:vMerge w:val="restart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9C1245" w:rsidRPr="00E505F6" w:rsidTr="00911F43">
        <w:trPr>
          <w:cantSplit/>
          <w:trHeight w:val="421"/>
        </w:trPr>
        <w:tc>
          <w:tcPr>
            <w:tcW w:w="1821" w:type="dxa"/>
            <w:vMerge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5"/>
            <w:shd w:val="clear" w:color="auto" w:fill="92D050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9" w:type="dxa"/>
            <w:gridSpan w:val="6"/>
            <w:shd w:val="clear" w:color="auto" w:fill="92D050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3244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Tytuł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Połączenie ul. Partyzantów (DW942) z ul. Żywiecką (DK69) w Bielsku-Białej- Rozbudowa skrzyżowania ul. Sempołowskiej z ul. PCK wraz z budową mostu na rzece Białej oraz z połączeniem z ul. Broniewskiego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Przebudowa odcinka drogi krajowej nr 52 (ul. Wyzwolenia/Niepodległości) w Bielsku-Białej</w:t>
            </w:r>
          </w:p>
        </w:tc>
        <w:tc>
          <w:tcPr>
            <w:tcW w:w="4138" w:type="dxa"/>
            <w:gridSpan w:val="4"/>
            <w:vMerge w:val="restart"/>
            <w:vAlign w:val="center"/>
          </w:tcPr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Przedmiotowe projekty charakteryzuje jeden wspólny cel, jakim jest poprawa funkcjonalności i parametrów technicznych układu kluczowych elementów sieci drogowej. Aby osiągnąć szeroki długofalowy efekt, przedstawione inwestycje polegające na rozbudowie kluczowych elementów sieci drogowej zostały zaplanowane w sposób kompleksowy, o szerokim zasięgu i możliwie najszerszym oddziaływaniu. </w:t>
            </w: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505F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Przebudowa połączenie ul. Partyzantów (DW942) z ul. Żywiecką (DK69) jest pośrednio komplementarna (poprzez ul. Lwowską – DK69) z przebudowanym w ramach projektu kluczowego odcinkiem drogi krajowej nr 52 ul. Wyzwolenia/Niepodległości.</w:t>
            </w: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738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Bielsko-Biała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Bielsko-Biała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994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7.1 Modernizacja i rozbudowa sieci drogowej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7.1 Modernizacja i rozbudowa sieci drogowej</w:t>
            </w:r>
          </w:p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833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02.04.2012 - 30.09.2014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21.08.2008 – 20.10.2010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695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4" w:type="dxa"/>
            <w:gridSpan w:val="5"/>
          </w:tcPr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Przedmiotem projektu jest rozbudowa ciągu ulic 1-Maja/PCK łączących DW942 z DK69 wraz z rozbudową skrzyżowania ul. Sempołowskiej /PCK, budową mostu na rzece Białej oraz połączeniem z ul. Broniewskiego w Bielsku–Białej.</w:t>
            </w: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Celem projektu jest poprawa parametrów technicznych kluczowego elementu sieci drogowej tj. ciągu komunikacyjnego w Bielsku – Białej łączącego ulicę Żywiecką (DK 69) z ulicą Partyzantów (DW 942), poprawa bezpieczeństwa ruchu drogowego oraz skrócenie czasu </w:t>
            </w:r>
            <w:r w:rsidRPr="00E505F6">
              <w:rPr>
                <w:rFonts w:ascii="Times New Roman" w:hAnsi="Times New Roman"/>
                <w:sz w:val="20"/>
                <w:szCs w:val="20"/>
              </w:rPr>
              <w:lastRenderedPageBreak/>
              <w:t>przejazdu na przedmiotowym odcinku drogi.</w:t>
            </w:r>
          </w:p>
        </w:tc>
        <w:tc>
          <w:tcPr>
            <w:tcW w:w="5079" w:type="dxa"/>
            <w:gridSpan w:val="6"/>
          </w:tcPr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lastRenderedPageBreak/>
              <w:t>Przedmiotowy projekt polega na przebudowie istniejącej drogi krajowej nr 52 na odcinku ok. 1,38 km (ulica Wyzwolenia i Niepodległości w Bielsku – Białej).</w:t>
            </w:r>
          </w:p>
          <w:p w:rsidR="009C1245" w:rsidRPr="00E505F6" w:rsidRDefault="009C1245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Celem projektu jest poprawa funkcjonalności istniejącego układu sieci dróg krajowych poprzez eliminację „wąskich gardeł” i przez to poprawa przejezdności (przepustowości) oraz warunków bezpieczeństwa ruchu drogowego. Realizacja inwestycji doprowadzi zatem do udrożnienia i zintegrowania układu komunikacyjnego w strefie </w:t>
            </w:r>
            <w:r w:rsidRPr="00E505F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obwodowej centralnej miasta Bielska-Białej, prowadzonej po części ciągami dróg krajowych nr 1, 52 i 69. 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925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5 236 792,01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21 454 089,50</w:t>
            </w:r>
            <w:r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5079" w:type="dxa"/>
            <w:gridSpan w:val="6"/>
            <w:vAlign w:val="center"/>
          </w:tcPr>
          <w:p w:rsidR="009C124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29 785 496,68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122 025 222,78</w:t>
            </w:r>
            <w:r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C1245" w:rsidRPr="00E505F6" w:rsidTr="00911F43">
        <w:trPr>
          <w:trHeight w:val="1250"/>
        </w:trPr>
        <w:tc>
          <w:tcPr>
            <w:tcW w:w="1821" w:type="dxa"/>
            <w:shd w:val="clear" w:color="auto" w:fill="92D050"/>
            <w:vAlign w:val="center"/>
          </w:tcPr>
          <w:p w:rsidR="009C1245" w:rsidRPr="00E505F6" w:rsidRDefault="009C1245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5"/>
            <w:vAlign w:val="center"/>
          </w:tcPr>
          <w:p w:rsidR="009C1245" w:rsidRPr="00E505F6" w:rsidRDefault="009C1245" w:rsidP="007B54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       </w:t>
            </w:r>
            <w:r w:rsidR="007B5405" w:rsidRPr="00E505F6">
              <w:rPr>
                <w:color w:val="000000"/>
                <w:sz w:val="20"/>
                <w:szCs w:val="20"/>
              </w:rPr>
              <w:t xml:space="preserve">2 571 110,64 </w:t>
            </w:r>
            <w:r w:rsidR="007B5405" w:rsidRPr="00E505F6">
              <w:rPr>
                <w:sz w:val="20"/>
                <w:szCs w:val="20"/>
              </w:rPr>
              <w:t>EUR (</w:t>
            </w:r>
            <w:r w:rsidRPr="00E505F6">
              <w:rPr>
                <w:sz w:val="20"/>
                <w:szCs w:val="20"/>
              </w:rPr>
              <w:t>10 533 326,09</w:t>
            </w:r>
            <w:r w:rsidR="007B5405" w:rsidRPr="00E505F6">
              <w:rPr>
                <w:sz w:val="20"/>
                <w:szCs w:val="20"/>
              </w:rPr>
              <w:t xml:space="preserve"> PLN)</w:t>
            </w:r>
          </w:p>
        </w:tc>
        <w:tc>
          <w:tcPr>
            <w:tcW w:w="5079" w:type="dxa"/>
            <w:gridSpan w:val="6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124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16 417 539,57 </w:t>
            </w:r>
            <w:r w:rsidRPr="00E505F6">
              <w:rPr>
                <w:sz w:val="20"/>
                <w:szCs w:val="20"/>
              </w:rPr>
              <w:t>EUR (</w:t>
            </w:r>
            <w:r w:rsidR="009C1245" w:rsidRPr="00E505F6">
              <w:rPr>
                <w:sz w:val="20"/>
                <w:szCs w:val="20"/>
              </w:rPr>
              <w:t>67 259 376,10</w:t>
            </w:r>
            <w:r w:rsidRPr="00E505F6">
              <w:rPr>
                <w:sz w:val="20"/>
                <w:szCs w:val="20"/>
              </w:rPr>
              <w:t xml:space="preserve"> PLN)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8" w:type="dxa"/>
            <w:gridSpan w:val="4"/>
            <w:vMerge/>
          </w:tcPr>
          <w:p w:rsidR="009C1245" w:rsidRPr="00E505F6" w:rsidRDefault="009C1245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cantSplit/>
          <w:trHeight w:val="976"/>
        </w:trPr>
        <w:tc>
          <w:tcPr>
            <w:tcW w:w="1821" w:type="dxa"/>
            <w:vMerge w:val="restart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6</w:t>
            </w:r>
            <w:r w:rsidR="002642F3" w:rsidRPr="00E505F6">
              <w:rPr>
                <w:sz w:val="20"/>
                <w:szCs w:val="20"/>
              </w:rPr>
              <w:t>.</w:t>
            </w:r>
          </w:p>
        </w:tc>
        <w:tc>
          <w:tcPr>
            <w:tcW w:w="11983" w:type="dxa"/>
            <w:gridSpan w:val="14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2498" w:type="dxa"/>
            <w:vMerge w:val="restart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8826C9" w:rsidRPr="00E505F6" w:rsidTr="00911F43">
        <w:trPr>
          <w:trHeight w:val="421"/>
        </w:trPr>
        <w:tc>
          <w:tcPr>
            <w:tcW w:w="1821" w:type="dxa"/>
            <w:vMerge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shd w:val="clear" w:color="auto" w:fill="92D050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3260" w:type="dxa"/>
            <w:gridSpan w:val="4"/>
            <w:shd w:val="clear" w:color="auto" w:fill="92D050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</w:tc>
        <w:tc>
          <w:tcPr>
            <w:tcW w:w="2273" w:type="dxa"/>
            <w:gridSpan w:val="2"/>
            <w:shd w:val="clear" w:color="auto" w:fill="92D050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3</w:t>
            </w:r>
          </w:p>
        </w:tc>
        <w:tc>
          <w:tcPr>
            <w:tcW w:w="2741" w:type="dxa"/>
            <w:gridSpan w:val="6"/>
            <w:shd w:val="clear" w:color="auto" w:fill="92D050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4</w:t>
            </w:r>
          </w:p>
        </w:tc>
        <w:tc>
          <w:tcPr>
            <w:tcW w:w="2498" w:type="dxa"/>
            <w:vMerge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552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Infrastruktura służąca przedsiębiorcom, teren byłej kopalni Kościuszko w ramach projektu kluczowego dla woj. śląskiego Gospodarcza Brama Śląska Etap I - uruchomienie Zagłębiowskiej Strefy Gospodarczej</w:t>
            </w: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Infrastruktura służąca przedsiębiorcom-strefa Piłsudski, strefa Przemysłowa, strefa Jan Kanty w ramach projektu kluczowego dla woj. śląskiego GBŚ Etap I-uruchomienie Zagłębiowskiej Strefy Gospodarczej</w:t>
            </w: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Elektryzujące Jaworzno - promocja potencjału inwestycyjnego miasta</w:t>
            </w:r>
          </w:p>
        </w:tc>
        <w:tc>
          <w:tcPr>
            <w:tcW w:w="2741" w:type="dxa"/>
            <w:gridSpan w:val="6"/>
            <w:vAlign w:val="center"/>
          </w:tcPr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Infrastruktura służąca przedsiębiorcom - strefa Przemysłowa I-II w ramach projektu Gospodarcza Brama Śląska w Jaworznie, etap II</w:t>
            </w:r>
          </w:p>
        </w:tc>
        <w:tc>
          <w:tcPr>
            <w:tcW w:w="2498" w:type="dxa"/>
            <w:vMerge w:val="restart"/>
            <w:vAlign w:val="center"/>
          </w:tcPr>
          <w:p w:rsidR="008826C9" w:rsidRPr="00E505F6" w:rsidRDefault="008826C9" w:rsidP="00604BC9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Przedstawione projekty realizują wspólny cel jakim jest wsparcie infrastruktury służącej rozwojowi gospodarczemu.</w:t>
            </w: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Projekty z założenia tworzą atrakcyjną gotową infrastrukturę na cele gospodarcze służące w przyszłości przedsiębiorcom z jednoczesną ich promocją.  </w:t>
            </w:r>
          </w:p>
        </w:tc>
      </w:tr>
      <w:tr w:rsidR="008826C9" w:rsidRPr="00E505F6" w:rsidTr="00911F43">
        <w:trPr>
          <w:trHeight w:val="738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E505F6">
              <w:rPr>
                <w:b/>
                <w:bCs/>
                <w:sz w:val="20"/>
                <w:szCs w:val="20"/>
              </w:rPr>
              <w:t>Miasto Jaworzno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E505F6">
              <w:rPr>
                <w:b/>
                <w:bCs/>
                <w:sz w:val="20"/>
                <w:szCs w:val="20"/>
              </w:rPr>
              <w:t>Miasto Jaworzno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E505F6">
              <w:rPr>
                <w:b/>
                <w:bCs/>
                <w:sz w:val="20"/>
                <w:szCs w:val="20"/>
              </w:rPr>
              <w:t>Miasto Jaworzno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E505F6">
              <w:rPr>
                <w:b/>
                <w:bCs/>
                <w:sz w:val="20"/>
                <w:szCs w:val="20"/>
              </w:rPr>
              <w:t>Miasto Jaworzno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2741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2741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994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2741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3709" w:type="dxa"/>
            <w:gridSpan w:val="2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Działanie 1.1. Wzmocnienie atrakcyjności inwestycyjnej regionu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Poddziałanie 1.1.1. Infrastruktura rozwoju gospodarczego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(PK-01.01.01-059/08)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realizowany w ramach projektów kluczowych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Działanie 1.1. Wzmocnienie atrakcyjności inwestycyjnej regionu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Poddziałanie 1.1.1. Infrastruktura rozwoju gospodarczego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(PK-01.01.01-059/08)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realizowany w ramach projektów kluczowych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273" w:type="dxa"/>
            <w:gridSpan w:val="2"/>
          </w:tcPr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Działanie 1.1. Wzmocnienie atrakcyjności inwestycyjnej regionu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Poddziałanie 1.1.2 Promocja inwestycyjna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(01.01.02-076/09)</w:t>
            </w:r>
          </w:p>
        </w:tc>
        <w:tc>
          <w:tcPr>
            <w:tcW w:w="2741" w:type="dxa"/>
            <w:gridSpan w:val="6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Działanie 1.1. Wzmocnienie atrakcyjności inwestycyjnej </w:t>
            </w:r>
            <w:r w:rsidRPr="00E505F6">
              <w:rPr>
                <w:sz w:val="20"/>
                <w:szCs w:val="20"/>
              </w:rPr>
              <w:lastRenderedPageBreak/>
              <w:t xml:space="preserve">regionu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Poddziałanie 1.1.1. Infrastruktura rozwoju gospodarczego 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(01.01.01-132/12)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833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Okres realizacji projektu</w:t>
            </w:r>
          </w:p>
        </w:tc>
        <w:tc>
          <w:tcPr>
            <w:tcW w:w="3709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rFonts w:eastAsia="Calibri"/>
                <w:sz w:val="20"/>
                <w:szCs w:val="20"/>
              </w:rPr>
              <w:t>21.10.2008 – 14.02.2010</w:t>
            </w:r>
          </w:p>
        </w:tc>
        <w:tc>
          <w:tcPr>
            <w:tcW w:w="3260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  <w:r w:rsidRPr="00E505F6">
              <w:rPr>
                <w:sz w:val="20"/>
                <w:szCs w:val="20"/>
              </w:rPr>
              <w:br/>
              <w:t>02.11.2010 – 30.06.2013</w:t>
            </w:r>
          </w:p>
        </w:tc>
        <w:tc>
          <w:tcPr>
            <w:tcW w:w="2273" w:type="dxa"/>
            <w:gridSpan w:val="2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  <w:r w:rsidRPr="00E505F6">
              <w:rPr>
                <w:sz w:val="20"/>
                <w:szCs w:val="20"/>
              </w:rPr>
              <w:br/>
              <w:t>01.06.2010 – 30.11.2012</w:t>
            </w:r>
          </w:p>
        </w:tc>
        <w:tc>
          <w:tcPr>
            <w:tcW w:w="2741" w:type="dxa"/>
            <w:gridSpan w:val="6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rFonts w:eastAsia="Calibri"/>
                <w:sz w:val="20"/>
                <w:szCs w:val="20"/>
              </w:rPr>
              <w:t>01.07.2013</w:t>
            </w:r>
            <w:r w:rsidRPr="00E505F6">
              <w:rPr>
                <w:sz w:val="20"/>
                <w:szCs w:val="20"/>
              </w:rPr>
              <w:t>– 29.05.2015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695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3709" w:type="dxa"/>
            <w:gridSpan w:val="2"/>
          </w:tcPr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zakłada uzbrojenie w infrastrukturę 12,37  ha terenów niezagospodarowanych lub poprzemysłowych (pogórniczych), zlokalizowanych na obszarze Miasta Jaworzna. W wyniku realizacji projektu zostaną wybudowane drogi wraz z kanalizacją deszczową, kanalizacją sanitarną, kanalizacją teletechniczną, wodociąg. Uzbrojenie terenów pozwoli na uzyskanie gotowych do zagospodarowania i atrakcyjnych gospodarczo terenów inwestycyjnych.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 jest uzyskanie w miejscu zdegradowanych przemysłowo obszarów centrum Jaworzna atrakcyjnych gospodarczo terenów inwestycyjnych o przeznaczeniu usługowym i centrotwórczym.</w:t>
            </w:r>
          </w:p>
        </w:tc>
        <w:tc>
          <w:tcPr>
            <w:tcW w:w="3260" w:type="dxa"/>
            <w:gridSpan w:val="4"/>
          </w:tcPr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zakłada uzbrojenie w infrastrukturę 75 ha terenów niezagospodarowanych lub poprzemysłowych (pogórniczych), zlokalizowanych na obszarze Miasta Jaworzna. Uzbrojenie terenów pozwoli na uzyskanie gotowych do zagospodarowania i atrakcyjnych gospodarczo terenów inwestycyjnych o przeznaczeniu przemysłowym, usługowym i składowym.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 jest uzyskanie w miejscu niezagospodarowanych i zdegradowanych przemysłowo obszarów strategicznych Jaworzna atrakcyjnych gospodarczo terenów inwestycyjnych o przeznaczeniu przemysłowym, usługowym i składowym.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jest drugim zadaniem realizowanym przez Miasto Jaworzno w ramach projektu kluczowego dla województwa śląskiego – Gospodarcza Brama Śląska.</w:t>
            </w:r>
          </w:p>
        </w:tc>
        <w:tc>
          <w:tcPr>
            <w:tcW w:w="2273" w:type="dxa"/>
            <w:gridSpan w:val="2"/>
          </w:tcPr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 Projekt obejmuje przeprowadzenie kampanii wizerunkowej i produktowej promującej potencjał inwestycyjny i gospodarczy Miasta Jaworzna realizowanej  zarówno w kraju jaki i za granicą.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Bezpośrednim celem projektu jest wzrost rozpoznawalności ofert inwestycyjnej i marki Jaworzna w skali regionu, kraju i świata.</w:t>
            </w:r>
          </w:p>
        </w:tc>
        <w:tc>
          <w:tcPr>
            <w:tcW w:w="2741" w:type="dxa"/>
            <w:gridSpan w:val="6"/>
          </w:tcPr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Przedmiotem projektu jest powstanie zachodniej części Jaworzna 22 ha uzbrojonego terenu inwestycyjnego, w jego skład wejdzie teren inwestycyjny Przemysłowa I – 14 ha i teren inwestycyjny Przemysłowa II – 8 ha. Projekt jest kontynuacją realizowanego przedsięwzięcia Gospodarcza Brama Śląska, uznanego za kluczowy dla rozwoju województwa śląskiego.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obejmuje powstanie podstawowej infrastruktury służącej przedsiębiorcom: dróg publicznych, kanalizacji deszczowej i sanitarnej, sieci energetycznej, teleinformatycznej i wodociągowej.</w:t>
            </w:r>
          </w:p>
          <w:p w:rsidR="008826C9" w:rsidRPr="00E505F6" w:rsidRDefault="008826C9" w:rsidP="00604BC9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projektu jest uzyskanie w miejscu niezagospodarowanych i zdegradowanych przemysłowo obszarów strategicznych Jaworzna atrakcyjnych gospodarczo terenów inwestycyjnych o przeznaczeniu przemysłowo-usługowym.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925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3709" w:type="dxa"/>
            <w:gridSpan w:val="2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4 937 468,86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20 227 822,43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3260" w:type="dxa"/>
            <w:gridSpan w:val="4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4 830 658,07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19 790 239,98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364 685,44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1 494 043,30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741" w:type="dxa"/>
            <w:gridSpan w:val="6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7 369 736,02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30 192 334,52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283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3709" w:type="dxa"/>
            <w:gridSpan w:val="2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3 249 596,51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13 312 946,99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3260" w:type="dxa"/>
            <w:gridSpan w:val="4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3 424 989,49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14 031 496,95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vAlign w:val="center"/>
          </w:tcPr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309 978,82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1 269 921,25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741" w:type="dxa"/>
            <w:gridSpan w:val="6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7B5405" w:rsidRPr="00E505F6" w:rsidRDefault="007B5405" w:rsidP="007B5405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6 264 275,62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7B5405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25 663 484,34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2498" w:type="dxa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604BC9">
        <w:trPr>
          <w:trHeight w:val="573"/>
        </w:trPr>
        <w:tc>
          <w:tcPr>
            <w:tcW w:w="1821" w:type="dxa"/>
            <w:vMerge w:val="restart"/>
            <w:tcBorders>
              <w:top w:val="nil"/>
              <w:left w:val="nil"/>
            </w:tcBorders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7</w:t>
            </w:r>
            <w:r w:rsidR="002642F3" w:rsidRPr="00E505F6">
              <w:rPr>
                <w:sz w:val="20"/>
                <w:szCs w:val="20"/>
              </w:rPr>
              <w:t>.</w:t>
            </w:r>
          </w:p>
        </w:tc>
        <w:tc>
          <w:tcPr>
            <w:tcW w:w="11452" w:type="dxa"/>
            <w:gridSpan w:val="13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3029" w:type="dxa"/>
            <w:gridSpan w:val="2"/>
            <w:vMerge w:val="restart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8826C9" w:rsidRPr="00E505F6" w:rsidTr="00911F43">
        <w:trPr>
          <w:trHeight w:val="591"/>
        </w:trPr>
        <w:tc>
          <w:tcPr>
            <w:tcW w:w="182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993" w:type="dxa"/>
            <w:gridSpan w:val="3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826C9" w:rsidRPr="00E505F6" w:rsidRDefault="008826C9" w:rsidP="00604BC9">
            <w:pPr>
              <w:outlineLvl w:val="0"/>
              <w:rPr>
                <w:b/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3065" w:type="dxa"/>
            <w:gridSpan w:val="6"/>
            <w:tcBorders>
              <w:bottom w:val="single" w:sz="4" w:space="0" w:color="auto"/>
            </w:tcBorders>
            <w:shd w:val="clear" w:color="auto" w:fill="92D050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3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172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Promocja oferty inwestycyjnej Gminy Zawiercie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Poprawa atrakcyjności inwestycyjnej Gminy Zawiercie poprzez kompleksowe uzbrojenie Strefy Aktywności Gospodarczej - Obszar A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Budowa i wyposażenie Zawierciańskiego Parku Przemysłowo – Technologicznego w Zawierciu</w:t>
            </w:r>
          </w:p>
        </w:tc>
        <w:tc>
          <w:tcPr>
            <w:tcW w:w="3029" w:type="dxa"/>
            <w:gridSpan w:val="2"/>
            <w:vMerge w:val="restart"/>
            <w:vAlign w:val="center"/>
          </w:tcPr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Przedstawione działania realizują wspólny cel jakim jest wzmocnienie atrakcyjności inwestycyjnej regionu. Projekty realizują ten cel poprzez podjęte działania w zakresie uzbrajania Strefy Aktywności Gospodarczej, jej zagospodarowania z  jednoczesną jej promocją.</w:t>
            </w: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8826C9" w:rsidRPr="00E505F6" w:rsidRDefault="008826C9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718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Gmina Zawiercie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Gmina Zawiercie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E505F6">
              <w:rPr>
                <w:bCs/>
                <w:sz w:val="20"/>
                <w:szCs w:val="20"/>
              </w:rPr>
              <w:t>Gmina Zawiercie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55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545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812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00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Działanie 1.1. Wzmocnienie atrakcyjności inwestycyjnej regionu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Poddziałanie 1.1.2 Promocja inwestycyjna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(01.01.02-109/11)</w:t>
            </w: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Działanie 1.1. Wzmocnienie atrakcyjności inwestycyjnej regionu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Poddziałanie 1.1.1. Infrastruktura rozwoju gospodarczego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(01.01.01-132/12)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I. Badania i rozwój technologiczny, innowacje i przedsiębiorczość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Działanie 1.3. Transfer technologii i innowacji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(01.03.00-133/12)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012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Okres realizacji projektu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02.04.2012 – 28.06.2013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16.07.2013 – 30-11-2014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25.06.2013 – 30.11.2014</w:t>
            </w: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1164"/>
        </w:trPr>
        <w:tc>
          <w:tcPr>
            <w:tcW w:w="182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Działania promujące ofertę inwestycyjną miasta Zawiercie m.in. poprzez podjęcie działań w zakresie wypromowania terenów w ramach Strefy Aktywności Gospodarczej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Kompleksowe uzbrojenie Strefy Aktywności Gospodarczej – Obszar A. Tworzona strefa zapewnia możliwość rozwoju funkcji produkcyjnych i usługowych – w zakresie nowych przedsiębiorstw, ale także umożliwia zmianę lokalizacji istniejących na terenie miasta uciążliwych podmiotów w zakresie produkcji i usług.</w:t>
            </w:r>
          </w:p>
        </w:tc>
        <w:tc>
          <w:tcPr>
            <w:tcW w:w="3065" w:type="dxa"/>
            <w:gridSpan w:val="6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Budowa i wyposażenie Zawierciańskiego Parku Przemysłowo-Technologicznego na terenie Strefy Aktywności Gospodarczej – Obszar A.</w:t>
            </w: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94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3993" w:type="dxa"/>
            <w:gridSpan w:val="3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234 573,32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960 999,98 PLN</w:t>
            </w:r>
            <w:r w:rsidRPr="00E505F6">
              <w:rPr>
                <w:sz w:val="20"/>
                <w:szCs w:val="20"/>
              </w:rPr>
              <w:t>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4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2 899 832,78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11 880 034,95 PLN</w:t>
            </w:r>
            <w:r w:rsidRPr="00E505F6">
              <w:rPr>
                <w:sz w:val="20"/>
                <w:szCs w:val="20"/>
              </w:rPr>
              <w:t>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65" w:type="dxa"/>
            <w:gridSpan w:val="6"/>
            <w:vAlign w:val="center"/>
          </w:tcPr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2 005 165,14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8 214 760,54 PLN</w:t>
            </w:r>
            <w:r w:rsidRPr="00E505F6">
              <w:rPr>
                <w:sz w:val="20"/>
                <w:szCs w:val="20"/>
              </w:rPr>
              <w:t>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26C9" w:rsidRPr="00E505F6" w:rsidTr="00911F43">
        <w:trPr>
          <w:trHeight w:val="731"/>
        </w:trPr>
        <w:tc>
          <w:tcPr>
            <w:tcW w:w="1821" w:type="dxa"/>
            <w:shd w:val="clear" w:color="auto" w:fill="92D050"/>
            <w:vAlign w:val="center"/>
          </w:tcPr>
          <w:p w:rsidR="008826C9" w:rsidRPr="00E505F6" w:rsidRDefault="008826C9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3993" w:type="dxa"/>
            <w:gridSpan w:val="3"/>
            <w:vAlign w:val="center"/>
          </w:tcPr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199 387,32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816 849,98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BE6774" w:rsidRPr="00E505F6" w:rsidRDefault="00BE6774" w:rsidP="00BE6774">
            <w:pPr>
              <w:rPr>
                <w:color w:val="000000"/>
                <w:sz w:val="20"/>
                <w:szCs w:val="20"/>
              </w:rPr>
            </w:pPr>
          </w:p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2 464 650,39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10 097 179,70 PLN</w:t>
            </w:r>
            <w:r w:rsidRPr="00E505F6">
              <w:rPr>
                <w:sz w:val="20"/>
                <w:szCs w:val="20"/>
              </w:rPr>
              <w:t>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65" w:type="dxa"/>
            <w:gridSpan w:val="6"/>
            <w:vAlign w:val="center"/>
          </w:tcPr>
          <w:p w:rsidR="00BE6774" w:rsidRPr="00E505F6" w:rsidRDefault="00BE6774" w:rsidP="00BE6774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746 829,41 </w:t>
            </w:r>
            <w:r w:rsidRPr="00E505F6">
              <w:rPr>
                <w:sz w:val="20"/>
                <w:szCs w:val="20"/>
              </w:rPr>
              <w:t xml:space="preserve">EUR </w:t>
            </w:r>
          </w:p>
          <w:p w:rsidR="008826C9" w:rsidRPr="00E505F6" w:rsidRDefault="00BE6774" w:rsidP="00BE6774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</w:t>
            </w:r>
            <w:r w:rsidR="008826C9" w:rsidRPr="00E505F6">
              <w:rPr>
                <w:sz w:val="20"/>
                <w:szCs w:val="20"/>
              </w:rPr>
              <w:t>3 059 610,73 PLN</w:t>
            </w:r>
            <w:r w:rsidRPr="00E505F6">
              <w:rPr>
                <w:sz w:val="20"/>
                <w:szCs w:val="20"/>
              </w:rPr>
              <w:t>)</w:t>
            </w:r>
          </w:p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vMerge/>
          </w:tcPr>
          <w:p w:rsidR="008826C9" w:rsidRPr="00E505F6" w:rsidRDefault="008826C9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573"/>
        </w:trPr>
        <w:tc>
          <w:tcPr>
            <w:tcW w:w="1843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8</w:t>
            </w:r>
            <w:r w:rsidR="002642F3" w:rsidRPr="00E505F6">
              <w:rPr>
                <w:sz w:val="20"/>
                <w:szCs w:val="20"/>
              </w:rPr>
              <w:t>.</w:t>
            </w:r>
          </w:p>
        </w:tc>
        <w:tc>
          <w:tcPr>
            <w:tcW w:w="9355" w:type="dxa"/>
            <w:gridSpan w:val="8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5104" w:type="dxa"/>
            <w:gridSpan w:val="6"/>
            <w:vMerge w:val="restart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911F43" w:rsidRPr="00E505F6" w:rsidTr="00911F43">
        <w:trPr>
          <w:trHeight w:val="591"/>
        </w:trPr>
        <w:tc>
          <w:tcPr>
            <w:tcW w:w="184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3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4960" w:type="dxa"/>
            <w:gridSpan w:val="5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outlineLvl w:val="0"/>
              <w:rPr>
                <w:b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6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1172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4395" w:type="dxa"/>
            <w:gridSpan w:val="3"/>
          </w:tcPr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Remont, przebudowa, rozbudowa i termomodernizacja budynku Szkoły Podstawowej w Rudziczce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5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rPr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Mistrzowie mowy</w:t>
            </w:r>
          </w:p>
        </w:tc>
        <w:tc>
          <w:tcPr>
            <w:tcW w:w="5104" w:type="dxa"/>
            <w:gridSpan w:val="6"/>
            <w:vMerge w:val="restart"/>
            <w:vAlign w:val="center"/>
          </w:tcPr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 xml:space="preserve">Przedstawione projekty realizują wspólny cel jakim jest zapewnienie odpowiednich warunków dla rozwoju edukacji na poziomie i przedszkolnym na terenie Gminy Suszec m. in. w miejscowości Rudziczka. Wybudowana i wyremontowana infrastruktura zostaje w ramach EFRR zostaje uzupełniona dodatkowymi zajęciami możliwymi do realizacji dzięki równoczesnej realizacji projektu z EFS.  </w:t>
            </w: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911F43" w:rsidRPr="00E505F6" w:rsidRDefault="00911F43" w:rsidP="00604BC9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718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Gmina Suszec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Gmina Suszec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551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545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Nazwa funduszu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EFS 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812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Nazwa programu operacyjnego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 KL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1001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4395" w:type="dxa"/>
            <w:gridSpan w:val="3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VIII Infrastruktura edukacyjna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8.2 Infrastruktura placówek oświaty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nabór 08.02.00-007/08</w:t>
            </w:r>
          </w:p>
        </w:tc>
        <w:tc>
          <w:tcPr>
            <w:tcW w:w="4960" w:type="dxa"/>
            <w:gridSpan w:val="5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IX. Rozwój wykształcenia i kompetencji w regionach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9.1 Wyrównywanie szans edukacyjnych i zapewnienie wysokiej jakości usług edukacyjnych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9.1.1 Zmniejszanie nierówności w stopniu upowszechnienia edukacji przedszkolnej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1012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30.03.2009 – 17.10.2011 r.</w:t>
            </w:r>
          </w:p>
        </w:tc>
        <w:tc>
          <w:tcPr>
            <w:tcW w:w="4960" w:type="dxa"/>
            <w:gridSpan w:val="5"/>
            <w:shd w:val="clear" w:color="auto" w:fill="auto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09.01.2011 – 07.31.2012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1164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4395" w:type="dxa"/>
            <w:gridSpan w:val="3"/>
          </w:tcPr>
          <w:p w:rsidR="00911F43" w:rsidRPr="00E505F6" w:rsidRDefault="00911F43" w:rsidP="00604BC9">
            <w:pPr>
              <w:outlineLvl w:val="0"/>
              <w:rPr>
                <w:sz w:val="20"/>
                <w:szCs w:val="20"/>
              </w:rPr>
            </w:pPr>
          </w:p>
          <w:p w:rsidR="00911F43" w:rsidRPr="00E505F6" w:rsidRDefault="00911F43" w:rsidP="00604BC9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projektu jest remont "dobudowanej"; części budynku szkolnego a także przebudowa, rozbudowa oraz termomodernizacja "starej" części budynku wraz z częściową zmianą sposobu użytkowania aktualnie istniejącej części szkolnej i części mieszkalnej (dwa mieszkania) na szkołę, przedszkole dwuoddziałowe oraz na część gospodarczą. W ramach wydzielonego terenu przedszkola zaplanowano także place zabaw dla dzieci starszych i młodszych wraz z zakupem wyposażenia.</w:t>
            </w:r>
          </w:p>
        </w:tc>
        <w:tc>
          <w:tcPr>
            <w:tcW w:w="4960" w:type="dxa"/>
            <w:gridSpan w:val="5"/>
          </w:tcPr>
          <w:p w:rsidR="00911F43" w:rsidRPr="00E505F6" w:rsidRDefault="00911F43" w:rsidP="00604BC9">
            <w:pPr>
              <w:jc w:val="both"/>
              <w:rPr>
                <w:sz w:val="20"/>
                <w:szCs w:val="20"/>
                <w:lang w:eastAsia="en-US"/>
              </w:rPr>
            </w:pPr>
            <w:r w:rsidRPr="00E505F6">
              <w:rPr>
                <w:sz w:val="20"/>
                <w:szCs w:val="20"/>
                <w:lang w:eastAsia="en-US"/>
              </w:rPr>
              <w:t>Wdrożenie programów rozwojowych z języka angielskiego oraz zajęć logopedycznych nastąpiło  w 6 przedszkolach w Gminie Suszec. W ramach projektu zostało  przeprowadzonych 364 zajęć z języka angielskiego oraz 1456 zajęć indywidualnych z dziećmi z logopedii. Łączna liczba zajęć kształtowała się na poziomie 1820 (70 zajęć tygodniowo przez 26 tygodni).</w:t>
            </w:r>
          </w:p>
          <w:p w:rsidR="00911F43" w:rsidRPr="00E505F6" w:rsidRDefault="00911F43" w:rsidP="00604BC9">
            <w:pPr>
              <w:jc w:val="both"/>
              <w:rPr>
                <w:sz w:val="20"/>
                <w:szCs w:val="20"/>
                <w:lang w:eastAsia="en-US"/>
              </w:rPr>
            </w:pPr>
            <w:r w:rsidRPr="00E505F6">
              <w:rPr>
                <w:sz w:val="20"/>
                <w:szCs w:val="20"/>
                <w:lang w:eastAsia="en-US"/>
              </w:rPr>
              <w:t>Zajęcia obejmowały 6 placówek przedszkolnych w Gminie Suszec (Przedszkole Suszec, Przedszkole Rudziczka, Przedszkole Mizerów ,Przedszkole Kryry, Przedszkole Kobielice i Przedszkole Radostowice).Programem objętych zostanie 126 dzieci w wieku 3-5 lat z Gminy Suszec.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941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11F43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472 454,51 EUR (</w:t>
            </w:r>
            <w:r w:rsidR="00911F43" w:rsidRPr="00E505F6">
              <w:rPr>
                <w:color w:val="000000"/>
                <w:sz w:val="20"/>
                <w:szCs w:val="20"/>
              </w:rPr>
              <w:t>1 935 551,64 PLN</w:t>
            </w:r>
            <w:r w:rsidRPr="00E505F6">
              <w:rPr>
                <w:color w:val="000000"/>
                <w:sz w:val="20"/>
                <w:szCs w:val="20"/>
              </w:rPr>
              <w:t>)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32 843,93 EUR (</w:t>
            </w:r>
            <w:r w:rsidR="00911F43" w:rsidRPr="00E505F6">
              <w:rPr>
                <w:color w:val="000000"/>
                <w:sz w:val="20"/>
                <w:szCs w:val="20"/>
              </w:rPr>
              <w:t>134 555,00 PLN</w:t>
            </w:r>
            <w:r w:rsidRPr="00E505F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911F43" w:rsidRPr="00E505F6" w:rsidTr="00911F43">
        <w:trPr>
          <w:trHeight w:val="731"/>
        </w:trPr>
        <w:tc>
          <w:tcPr>
            <w:tcW w:w="1843" w:type="dxa"/>
            <w:gridSpan w:val="2"/>
            <w:shd w:val="clear" w:color="auto" w:fill="92D050"/>
            <w:vAlign w:val="center"/>
          </w:tcPr>
          <w:p w:rsidR="00911F43" w:rsidRPr="00E505F6" w:rsidRDefault="00911F43" w:rsidP="00604BC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4395" w:type="dxa"/>
            <w:gridSpan w:val="3"/>
            <w:vAlign w:val="center"/>
          </w:tcPr>
          <w:p w:rsidR="00911F43" w:rsidRPr="00E505F6" w:rsidRDefault="00911F43" w:rsidP="00604BC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11F43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354 340,88 EUR (</w:t>
            </w:r>
            <w:r w:rsidR="00911F43" w:rsidRPr="00E505F6">
              <w:rPr>
                <w:color w:val="000000"/>
                <w:sz w:val="20"/>
                <w:szCs w:val="20"/>
              </w:rPr>
              <w:t>1 451 663,73 PLN</w:t>
            </w:r>
            <w:r w:rsidRPr="00E505F6">
              <w:rPr>
                <w:color w:val="000000"/>
                <w:sz w:val="20"/>
                <w:szCs w:val="20"/>
              </w:rPr>
              <w:t>)</w:t>
            </w:r>
          </w:p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960" w:type="dxa"/>
            <w:gridSpan w:val="5"/>
            <w:vAlign w:val="center"/>
          </w:tcPr>
          <w:p w:rsidR="00911F43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>32 351,10 EUR (</w:t>
            </w:r>
            <w:r w:rsidR="00911F43" w:rsidRPr="00E505F6">
              <w:rPr>
                <w:color w:val="000000"/>
                <w:sz w:val="20"/>
                <w:szCs w:val="20"/>
              </w:rPr>
              <w:t>132 536,00 PLN</w:t>
            </w:r>
            <w:r w:rsidRPr="00E505F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104" w:type="dxa"/>
            <w:gridSpan w:val="6"/>
            <w:vMerge/>
          </w:tcPr>
          <w:p w:rsidR="00911F43" w:rsidRPr="00E505F6" w:rsidRDefault="00911F43" w:rsidP="00604BC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911F43" w:rsidRPr="00E505F6" w:rsidRDefault="00911F43" w:rsidP="00911F43">
      <w:pPr>
        <w:outlineLvl w:val="0"/>
        <w:rPr>
          <w:sz w:val="20"/>
          <w:szCs w:val="20"/>
        </w:rPr>
      </w:pPr>
    </w:p>
    <w:tbl>
      <w:tblPr>
        <w:tblW w:w="1630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1538"/>
        <w:gridCol w:w="22"/>
        <w:gridCol w:w="5243"/>
        <w:gridCol w:w="4108"/>
        <w:gridCol w:w="970"/>
        <w:gridCol w:w="3567"/>
        <w:gridCol w:w="571"/>
      </w:tblGrid>
      <w:tr w:rsidR="00DE04B1" w:rsidRPr="00E505F6" w:rsidTr="00016463">
        <w:trPr>
          <w:gridBefore w:val="1"/>
          <w:gridAfter w:val="1"/>
          <w:wBefore w:w="283" w:type="dxa"/>
          <w:wAfter w:w="569" w:type="dxa"/>
          <w:cantSplit/>
          <w:trHeight w:val="976"/>
        </w:trPr>
        <w:tc>
          <w:tcPr>
            <w:tcW w:w="1560" w:type="dxa"/>
            <w:gridSpan w:val="2"/>
            <w:vMerge w:val="restart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9.</w:t>
            </w:r>
          </w:p>
        </w:tc>
        <w:tc>
          <w:tcPr>
            <w:tcW w:w="9353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537" w:type="dxa"/>
            <w:gridSpan w:val="2"/>
            <w:vMerge w:val="restart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cantSplit/>
          <w:trHeight w:val="421"/>
        </w:trPr>
        <w:tc>
          <w:tcPr>
            <w:tcW w:w="1560" w:type="dxa"/>
            <w:gridSpan w:val="2"/>
            <w:vMerge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92D050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4109" w:type="dxa"/>
            <w:shd w:val="clear" w:color="auto" w:fill="92D050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3244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Tytuł projektu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Remont i przebudowa Amfiteatru pod Grojcem w Żywcu wraz z terenami rekreacyjnymi na cele imprez kulturalno – sportowych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Rozbudowa i remont sceny głównej, widowni wraz z zapleczem socjalno-technicznym Amfiteatru pod Grojcem – etap II</w:t>
            </w:r>
          </w:p>
        </w:tc>
        <w:tc>
          <w:tcPr>
            <w:tcW w:w="4537" w:type="dxa"/>
            <w:gridSpan w:val="2"/>
            <w:vMerge w:val="restart"/>
            <w:vAlign w:val="center"/>
          </w:tcPr>
          <w:p w:rsidR="00DE04B1" w:rsidRPr="00E505F6" w:rsidRDefault="00DE04B1" w:rsidP="002F4F78">
            <w:pPr>
              <w:jc w:val="both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z Poddziałania 6.2.2. Rewitalizacja – małe miasta stanowi bezpośrednią kontynuację (II etap) prac rozpoczętych przez Gminę Żywiec w ramach projektu kluczowego RPO WSL 2007-2013 pn.: „</w:t>
            </w:r>
            <w:r w:rsidRPr="00E505F6">
              <w:rPr>
                <w:i/>
                <w:iCs/>
                <w:sz w:val="20"/>
                <w:szCs w:val="20"/>
              </w:rPr>
              <w:t>Remont i przebudowa Amfiteatru pod Grojcem w Żywcu wraz z terenami rekreacyjnymi na cele imprez kulturalno – sportowych</w:t>
            </w:r>
            <w:r w:rsidRPr="00E505F6">
              <w:rPr>
                <w:sz w:val="20"/>
                <w:szCs w:val="20"/>
              </w:rPr>
              <w:t xml:space="preserve">” </w:t>
            </w:r>
          </w:p>
          <w:p w:rsidR="00DE04B1" w:rsidRPr="00E505F6" w:rsidRDefault="00DE04B1" w:rsidP="002F4F78">
            <w:pPr>
              <w:jc w:val="both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 kluczowy obejmuje budowę, przebudowę i remont bazy okołoturystycznej wokół Amfiteatru pod Grojcem w Żywcu oraz infrastruktury i terenów rekreacyjnych – na cele imprez kulturalno-sportowych. Projekt zmierza do podniesienia konkurencyjności turystycznej regionu poprze stworzenie atrakcyjnej, wysokiej jakości infrastruktury okołoturystycznej i kulturalno-sportowej.</w:t>
            </w:r>
          </w:p>
          <w:p w:rsidR="00DE04B1" w:rsidRPr="00E505F6" w:rsidRDefault="00DE04B1" w:rsidP="002F4F78">
            <w:pPr>
              <w:jc w:val="both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Cały teren amfiteatru planuje się wykorzystywać do realizacji dużych imprez masowych, kulturalnych i sportowych, z uwagi na jego wyjątkowe i strategiczne znaczenie dla rozwoju kultury i turystyki w całym obszarze Subregionu Południowego. </w:t>
            </w:r>
          </w:p>
          <w:p w:rsidR="00DE04B1" w:rsidRPr="00E505F6" w:rsidRDefault="00DE04B1" w:rsidP="002F4F78">
            <w:pPr>
              <w:pStyle w:val="Tekstpodstawowy"/>
            </w:pPr>
            <w:r w:rsidRPr="00E505F6">
              <w:t>Wzajemne powiązanie ww. projektów oraz kompleksowe podejście do problemu rewitalizacji atrakcyjnej i ważnej części miasta Żywiec doprowadzi do stworzenia markowego i rozpoznawalnego produktu turystyczno-kulturalnego w skali całego województwa.</w:t>
            </w: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738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Gmina Żywiec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Gmina Żywiec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551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śląskie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545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994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1001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44" w:type="dxa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br/>
              <w:t>III. Turystyka</w:t>
            </w:r>
            <w:r w:rsidRPr="00E505F6">
              <w:rPr>
                <w:sz w:val="20"/>
                <w:szCs w:val="20"/>
              </w:rPr>
              <w:br/>
            </w:r>
          </w:p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2. Infrastruktura okołoturystyczna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sz w:val="20"/>
                <w:szCs w:val="20"/>
              </w:rPr>
              <w:br/>
              <w:t>2. Infrastruktura okołoturystyczna - podmioty publiczne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(3.2.2.) – nabór PK</w:t>
            </w:r>
          </w:p>
        </w:tc>
        <w:tc>
          <w:tcPr>
            <w:tcW w:w="4109" w:type="dxa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br/>
              <w:t>VI. Zrównoważony rozwój miast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sz w:val="20"/>
                <w:szCs w:val="20"/>
              </w:rPr>
              <w:br/>
              <w:t>2. Rewitalizacja obszarów zdegradowanych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sz w:val="20"/>
                <w:szCs w:val="20"/>
              </w:rPr>
              <w:br/>
              <w:t>2. Rewitalizacja - małe miasta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(6.2.2.) – nabór konkursowy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833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44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2007-06-13 – 2010-07-30</w:t>
            </w:r>
          </w:p>
        </w:tc>
        <w:tc>
          <w:tcPr>
            <w:tcW w:w="4109" w:type="dxa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Rzeczowa realizacja projektu: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2012-11-01 – 2014-08-31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695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44" w:type="dxa"/>
          </w:tcPr>
          <w:p w:rsidR="00DE04B1" w:rsidRPr="00E505F6" w:rsidRDefault="00DE04B1" w:rsidP="002F4F78">
            <w:pPr>
              <w:ind w:left="34"/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Cel bezpośredni projektu to stworzenie wysokiej jakości, nowoczesnej i atrakcyjnej infrastruktury oraz terenów przeznaczonych dla organizacji imprez kulturalno – sportowych, jak również infrastruktury około turystycznej, przyczyniającej się do tworzenia i rozwoju regionalnych produktów turystycznych, w tym szczególnie produktów </w:t>
            </w:r>
            <w:r w:rsidRPr="00E505F6">
              <w:rPr>
                <w:sz w:val="20"/>
                <w:szCs w:val="20"/>
              </w:rPr>
              <w:lastRenderedPageBreak/>
              <w:t>turystki kulturowej, które chce rozwijać miasto Żywiec.</w:t>
            </w:r>
          </w:p>
          <w:p w:rsidR="00DE04B1" w:rsidRPr="00E505F6" w:rsidRDefault="00DE04B1" w:rsidP="002F4F78">
            <w:pPr>
              <w:ind w:left="34"/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 pośredni projektu to przyczynienie się do wzrostu konkurencyjności turystycznej regionu, dzięki rozszerzeniu oferty turystycznej Amfiteatru pod Grojcem, poprawie jakości infrastruktury turystycznej tego obiektu, wzrostowi ruchu turystycznego w regionie oraz wzrostowi rozpoznawalności regionalnej oferty turystycznej oraz innych imprez kulturalno – sportowych i turystycznych organizowanych w Amfiteatrze pod Grojcem.</w:t>
            </w:r>
          </w:p>
          <w:p w:rsidR="00DE04B1" w:rsidRPr="00E505F6" w:rsidRDefault="00DE04B1" w:rsidP="002F4F78">
            <w:pPr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4109" w:type="dxa"/>
          </w:tcPr>
          <w:p w:rsidR="00DE04B1" w:rsidRPr="00E505F6" w:rsidRDefault="00DE04B1" w:rsidP="002F4F78">
            <w:pPr>
              <w:ind w:left="34"/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Cel bezpośredni projektu to ożywienie i wzrost funkcjonalności przestrzeni miejskiej Żywca poprzez rewitalizację infrastruktury Amfiteatru pod Grojcem w Żywcu. Celem ogólnym jest zwiększenie funkcjonalności zasobów w zakresie atrakcyjności turystycznej Żywca, </w:t>
            </w:r>
            <w:r w:rsidRPr="00E505F6">
              <w:rPr>
                <w:sz w:val="20"/>
                <w:szCs w:val="20"/>
              </w:rPr>
              <w:lastRenderedPageBreak/>
              <w:t>ożywienie i wykorzystanie potencjału społeczno – gospodarczego dla rozwoju turystki w oparciu o ofertę kulturalną Żywca, poprawa warunków infrastrukturalnych do organizowania imprez o charakterze kulturalnym, poprawa bezpieczeństwa na terenie obiektu, lepsza integracja mieszkańców i turystów z osobami niepełnosprawnymi, wzrost jakości życia mieszkańców poprzez rozszerzenie oferty spędzania wolnego czasu i dostępności imprez kulturalnych, rekreacyjnych i turystycznych,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925"/>
        </w:trPr>
        <w:tc>
          <w:tcPr>
            <w:tcW w:w="1560" w:type="dxa"/>
            <w:gridSpan w:val="2"/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5244" w:type="dxa"/>
            <w:vAlign w:val="center"/>
          </w:tcPr>
          <w:p w:rsidR="00DE04B1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855 354,37 </w:t>
            </w:r>
            <w:r w:rsidRPr="00E505F6">
              <w:rPr>
                <w:sz w:val="20"/>
                <w:szCs w:val="20"/>
              </w:rPr>
              <w:t>EUR (</w:t>
            </w:r>
            <w:r w:rsidR="00DE04B1" w:rsidRPr="00E505F6">
              <w:rPr>
                <w:sz w:val="20"/>
                <w:szCs w:val="20"/>
              </w:rPr>
              <w:t>3 504 215,77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09" w:type="dxa"/>
            <w:vAlign w:val="center"/>
          </w:tcPr>
          <w:p w:rsidR="00DE04B1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3 879 960,46 </w:t>
            </w:r>
            <w:r w:rsidRPr="00E505F6">
              <w:rPr>
                <w:sz w:val="20"/>
                <w:szCs w:val="20"/>
              </w:rPr>
              <w:t>EUR (</w:t>
            </w:r>
            <w:r w:rsidR="00DE04B1" w:rsidRPr="00E505F6">
              <w:rPr>
                <w:sz w:val="20"/>
                <w:szCs w:val="20"/>
              </w:rPr>
              <w:t>15 895 422,00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537" w:type="dxa"/>
            <w:gridSpan w:val="2"/>
            <w:vMerge/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E04B1" w:rsidRPr="00E505F6" w:rsidTr="00016463">
        <w:trPr>
          <w:gridBefore w:val="1"/>
          <w:gridAfter w:val="1"/>
          <w:wBefore w:w="283" w:type="dxa"/>
          <w:wAfter w:w="569" w:type="dxa"/>
          <w:trHeight w:val="1250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DE04B1" w:rsidRPr="00E505F6" w:rsidRDefault="00DE04B1" w:rsidP="002F4F78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:rsidR="00DE04B1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612 045,88 </w:t>
            </w:r>
            <w:r w:rsidRPr="00E505F6">
              <w:rPr>
                <w:sz w:val="20"/>
                <w:szCs w:val="20"/>
              </w:rPr>
              <w:t>EUR (</w:t>
            </w:r>
            <w:r w:rsidR="00DE04B1" w:rsidRPr="00E505F6">
              <w:rPr>
                <w:sz w:val="20"/>
                <w:szCs w:val="20"/>
              </w:rPr>
              <w:t>2 507 429,56</w:t>
            </w:r>
            <w:r w:rsidR="00DE04B1" w:rsidRPr="00E505F6">
              <w:rPr>
                <w:b/>
                <w:bCs/>
                <w:sz w:val="20"/>
                <w:szCs w:val="20"/>
              </w:rPr>
              <w:t xml:space="preserve"> </w:t>
            </w:r>
            <w:r w:rsidR="00DE04B1" w:rsidRPr="00E505F6">
              <w:rPr>
                <w:bCs/>
                <w:sz w:val="20"/>
                <w:szCs w:val="20"/>
              </w:rPr>
              <w:t>PLN</w:t>
            </w:r>
            <w:r w:rsidRPr="00E505F6">
              <w:rPr>
                <w:bCs/>
                <w:sz w:val="20"/>
                <w:szCs w:val="20"/>
              </w:rPr>
              <w:t>)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vAlign w:val="center"/>
          </w:tcPr>
          <w:p w:rsidR="00DE04B1" w:rsidRPr="00E505F6" w:rsidRDefault="009C01AA" w:rsidP="009C01AA">
            <w:pPr>
              <w:jc w:val="center"/>
              <w:rPr>
                <w:color w:val="000000"/>
                <w:sz w:val="20"/>
                <w:szCs w:val="20"/>
              </w:rPr>
            </w:pPr>
            <w:r w:rsidRPr="00E505F6">
              <w:rPr>
                <w:color w:val="000000"/>
                <w:sz w:val="20"/>
                <w:szCs w:val="20"/>
              </w:rPr>
              <w:t xml:space="preserve">3 297 966,39 </w:t>
            </w:r>
            <w:r w:rsidRPr="00E505F6">
              <w:rPr>
                <w:sz w:val="20"/>
                <w:szCs w:val="20"/>
              </w:rPr>
              <w:t>EUR (</w:t>
            </w:r>
            <w:r w:rsidR="00DE04B1" w:rsidRPr="00E505F6">
              <w:rPr>
                <w:sz w:val="20"/>
                <w:szCs w:val="20"/>
              </w:rPr>
              <w:t>13 511 108,70</w:t>
            </w:r>
            <w:r w:rsidR="00DE04B1" w:rsidRPr="00E505F6">
              <w:rPr>
                <w:b/>
                <w:bCs/>
                <w:sz w:val="20"/>
                <w:szCs w:val="20"/>
              </w:rPr>
              <w:t xml:space="preserve"> </w:t>
            </w:r>
            <w:r w:rsidR="00DE04B1" w:rsidRPr="00E505F6">
              <w:rPr>
                <w:bCs/>
                <w:sz w:val="20"/>
                <w:szCs w:val="20"/>
              </w:rPr>
              <w:t>PLN</w:t>
            </w:r>
            <w:r w:rsidRPr="00E505F6">
              <w:rPr>
                <w:bCs/>
                <w:sz w:val="20"/>
                <w:szCs w:val="20"/>
              </w:rPr>
              <w:t>)</w:t>
            </w:r>
          </w:p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  <w:tcBorders>
              <w:bottom w:val="single" w:sz="4" w:space="0" w:color="auto"/>
            </w:tcBorders>
          </w:tcPr>
          <w:p w:rsidR="00DE04B1" w:rsidRPr="00E505F6" w:rsidRDefault="00DE04B1" w:rsidP="002F4F78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73"/>
        </w:trPr>
        <w:tc>
          <w:tcPr>
            <w:tcW w:w="1821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10.</w:t>
            </w:r>
          </w:p>
        </w:tc>
        <w:tc>
          <w:tcPr>
            <w:tcW w:w="10344" w:type="dxa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7" w:type="dxa"/>
            <w:gridSpan w:val="2"/>
            <w:vMerge w:val="restart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016463" w:rsidRPr="00E505F6" w:rsidTr="00016463">
        <w:trPr>
          <w:trHeight w:val="591"/>
        </w:trPr>
        <w:tc>
          <w:tcPr>
            <w:tcW w:w="182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6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8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7" w:type="dxa"/>
            <w:gridSpan w:val="2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833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Budowa systemu monitoringu wizyjnego w dzielnicach Miasta Rybnika – II etap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Zwiększenie atrakcyjności terenów inwestycyjnych w centrum Rybnika poprzez przebudowę i budowę układu drogowego</w:t>
            </w:r>
          </w:p>
        </w:tc>
        <w:tc>
          <w:tcPr>
            <w:tcW w:w="4137" w:type="dxa"/>
            <w:gridSpan w:val="2"/>
            <w:vMerge w:val="restart"/>
            <w:vAlign w:val="center"/>
          </w:tcPr>
          <w:p w:rsidR="00016463" w:rsidRPr="00E505F6" w:rsidRDefault="00016463" w:rsidP="006049A7">
            <w:pPr>
              <w:jc w:val="both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Projekty łączy obszar realizacji (skrzyżowanie ulic Chrobrego i Kościuszki). Jest to obszar wspólny, choć nie całkowity dla poszczególnych projektów, można zatem powiedzieć, że w zakresie tym projekty wspólnie podnoszą i bezpieczeństwo i atrakcyjność terenu. Oddziaływanie obydwu projektów dotyczy ścisłego centrum miasta.</w:t>
            </w:r>
          </w:p>
          <w:p w:rsidR="00016463" w:rsidRPr="00E505F6" w:rsidRDefault="00016463" w:rsidP="006049A7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718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Rybnik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Miasto Rybnik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45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Nazwa funduszu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812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8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V. Zrównoważony rozwój miast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6.2.2 Rewitalizacja – duże miasta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V. Zrównoważony rozwój miast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6.2.2 Rewitalizacja – duże miasta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012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2009-02-05 – 2009-12-04</w:t>
            </w:r>
          </w:p>
        </w:tc>
        <w:tc>
          <w:tcPr>
            <w:tcW w:w="5078" w:type="dxa"/>
            <w:gridSpan w:val="2"/>
            <w:shd w:val="clear" w:color="auto" w:fill="auto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2009-09-22 do  2010-10-06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164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Celem inwestycji jest poprawa bezpieczeństwa w rejonach najbardziej zagrożonych przestępczością, w szczególności tą najbardziej uciążliwą dla przeciętnego mieszkańca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Przedmiotem projektu jest przebudowa fragmentu ul. Chrobrego na odcinku od skrzyżowania z ul. Kościuszki do bramy wjazdowej zakładu produkcyjnego "RYFAMA" S.A. oraz wykonanie nowej drogi w przedłużeniu przebudowanego odcinka do torów kolejowych, a następnie wzdłuż trakcji kolejowej aż do skrzyżowania ul. Powstańców Śląskich z ul. Żorską i Sybiraków.</w:t>
            </w:r>
            <w:r w:rsidRPr="00E505F6">
              <w:rPr>
                <w:sz w:val="20"/>
                <w:szCs w:val="20"/>
              </w:rPr>
              <w:br/>
              <w:t>Celem projektu jest poprawa bezpieczeństwa i efektywności transportu samochodowego w centrum Rybnika, a także zwiększenie atrakcyjności terenów inwestycyjnych znajdujących się w śródmieściu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94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Całkowita wartość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523 748,94 EUR (</w:t>
            </w:r>
            <w:r w:rsidR="00016463" w:rsidRPr="00E505F6">
              <w:rPr>
                <w:sz w:val="20"/>
                <w:szCs w:val="20"/>
              </w:rPr>
              <w:t>2 145 694,63 PLN</w:t>
            </w:r>
            <w:r w:rsidRPr="00E505F6">
              <w:rPr>
                <w:sz w:val="20"/>
                <w:szCs w:val="20"/>
              </w:rPr>
              <w:t>)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2 223 017,97 EUR (</w:t>
            </w:r>
            <w:r w:rsidR="00016463" w:rsidRPr="00E505F6">
              <w:rPr>
                <w:sz w:val="20"/>
                <w:szCs w:val="20"/>
              </w:rPr>
              <w:t>9 107 260,02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73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423 506,65 EUR (</w:t>
            </w:r>
            <w:r w:rsidR="00016463" w:rsidRPr="00E505F6">
              <w:rPr>
                <w:sz w:val="20"/>
                <w:szCs w:val="20"/>
              </w:rPr>
              <w:t>1 735 022,05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1 428 430 EUR (</w:t>
            </w:r>
            <w:r w:rsidR="00016463" w:rsidRPr="00E505F6">
              <w:rPr>
                <w:sz w:val="20"/>
                <w:szCs w:val="20"/>
              </w:rPr>
              <w:t>5 851 992,05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73"/>
        </w:trPr>
        <w:tc>
          <w:tcPr>
            <w:tcW w:w="1821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016463" w:rsidRPr="00E505F6" w:rsidRDefault="00016463" w:rsidP="00016463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11.</w:t>
            </w:r>
          </w:p>
        </w:tc>
        <w:tc>
          <w:tcPr>
            <w:tcW w:w="10344" w:type="dxa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7" w:type="dxa"/>
            <w:gridSpan w:val="2"/>
            <w:vMerge w:val="restart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016463" w:rsidRPr="00E505F6" w:rsidTr="00016463">
        <w:trPr>
          <w:trHeight w:val="591"/>
        </w:trPr>
        <w:tc>
          <w:tcPr>
            <w:tcW w:w="182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6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8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7" w:type="dxa"/>
            <w:gridSpan w:val="2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833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Tytuł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Utworzenie Centrum Dziedzictwa Kulturowego Bramy Morawskiej na Zamku Piastowskim w Raciborzu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Powiatowy System Informacji o Atrakcjach Kulturowych na Ziemi Raciborskiej</w:t>
            </w:r>
          </w:p>
        </w:tc>
        <w:tc>
          <w:tcPr>
            <w:tcW w:w="4137" w:type="dxa"/>
            <w:gridSpan w:val="2"/>
            <w:vMerge w:val="restart"/>
            <w:vAlign w:val="center"/>
          </w:tcPr>
          <w:p w:rsidR="00016463" w:rsidRPr="00E505F6" w:rsidRDefault="00016463" w:rsidP="006049A7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Wspólny cel obydwu projektów dotyczy promocji i rozwoju, a szczególności wzrostu konkurencyjności i wzbogacenia funkcji miejskiej. Realizacja projektu I bezpośrednio wzmacnia projekt II, bowiem obiekt, którego dotyczy projekt I znajduje się na liście obiektów najcenniejszych kulturowo.</w:t>
            </w:r>
          </w:p>
        </w:tc>
      </w:tr>
      <w:tr w:rsidR="00016463" w:rsidRPr="00E505F6" w:rsidTr="00016463">
        <w:trPr>
          <w:trHeight w:val="718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Powiat Raciborski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545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812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8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Nr i nazwa działania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V. Zrównoważony rozwój miast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6.1 Wzmacnianie regionalnych ośrodków wzrostu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IV. Kultura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4.2 System informacji kulturalnej 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012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2008-04-25 - 2012-07-31</w:t>
            </w:r>
          </w:p>
        </w:tc>
        <w:tc>
          <w:tcPr>
            <w:tcW w:w="5078" w:type="dxa"/>
            <w:gridSpan w:val="2"/>
            <w:shd w:val="clear" w:color="auto" w:fill="auto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2010-05-20 – 2010-09-28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1164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016463" w:rsidP="006049A7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Przedmiotem projektu jest rewaloryzacja obiektów Zamku Piastowskiego w Raciborzu na cele utworzenia Centrum Dziedzictwa Kulturowego Bramy Morawskiej służące szeroko pojętej edukacji kulturowej. Program odbudowy i uruchomienia kompleksu zamkowego obejmuje etapy:</w:t>
            </w:r>
            <w:r w:rsidRPr="00E505F6">
              <w:rPr>
                <w:sz w:val="20"/>
                <w:szCs w:val="20"/>
              </w:rPr>
              <w:br/>
              <w:t>- remont i adaptacja Budynku Bramnego „F” na centrum organizacji imprez zamkowych,</w:t>
            </w:r>
            <w:r w:rsidRPr="00E505F6">
              <w:rPr>
                <w:sz w:val="20"/>
                <w:szCs w:val="20"/>
              </w:rPr>
              <w:br/>
              <w:t>- remont i adaptacja Budynku Mieszkalnego „D” na cele wystawiennicze i naukowe,</w:t>
            </w:r>
            <w:r w:rsidRPr="00E505F6">
              <w:rPr>
                <w:sz w:val="20"/>
                <w:szCs w:val="20"/>
              </w:rPr>
              <w:br/>
            </w:r>
            <w:r w:rsidRPr="00E505F6">
              <w:rPr>
                <w:sz w:val="20"/>
                <w:szCs w:val="20"/>
              </w:rPr>
              <w:lastRenderedPageBreak/>
              <w:t>- remont i adaptacja Budynku Słodowni „B” na cele gastronomiczne, artystyczne, naukowe, noclegowe i magazynowo – techniczne,</w:t>
            </w:r>
            <w:r w:rsidRPr="00E505F6">
              <w:rPr>
                <w:sz w:val="20"/>
                <w:szCs w:val="20"/>
              </w:rPr>
              <w:br/>
              <w:t>- rewaloryzacja Dziedzińca Zamkowego i jego adaptacja na potrzeby spektakli i koncertów plenerowych wraz z wyposażeniem oraz roboty zabezpieczające przyziemie kaplicy i mury obronne.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016463" w:rsidP="006049A7">
            <w:pPr>
              <w:jc w:val="both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Przedmiotem realizowanego projektu pt: „Powiatowy System Informacji o Atrakcjach Kulturowych na Ziemi Raciborskiej" jest stworzenie jednolitego systemu oznakowania obiektów i obszarów atrakcyjnych kulturowo poprzez wykonanie tablic zbiorczych i informacyjnych (z opisem w czterech językach), tablic kierunkowych w ruchu drogowym i pieszym oraz ich usytuowanie w terenie. Dodatkowo w ramach promocji przewiduje się: wykonanie folderów oraz banneru internetowego, produkcję i emisję </w:t>
            </w:r>
            <w:r w:rsidRPr="00E505F6">
              <w:rPr>
                <w:sz w:val="20"/>
                <w:szCs w:val="20"/>
              </w:rPr>
              <w:lastRenderedPageBreak/>
              <w:t>filmu promocyjnego, organizację konferencji. Przedmiotowy projekt zakłada wykonanie systemu oznakowania obiektów (zamków, pałaców, kościołów, itp.) i obszarów atrakcyjnych kulturowo (meandry Odry) na obszarze całego Powiatu Raciborskiego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94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5 878 172,55 EUR (</w:t>
            </w:r>
            <w:r w:rsidR="00016463" w:rsidRPr="00E505F6">
              <w:rPr>
                <w:sz w:val="20"/>
                <w:szCs w:val="20"/>
              </w:rPr>
              <w:t>24 081 697,32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129 296,50 EUR (</w:t>
            </w:r>
            <w:r w:rsidR="00016463" w:rsidRPr="00E505F6">
              <w:rPr>
                <w:sz w:val="20"/>
                <w:szCs w:val="20"/>
              </w:rPr>
              <w:t>529 701,92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016463">
        <w:trPr>
          <w:trHeight w:val="73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6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4 881 527,04 EUR (</w:t>
            </w:r>
            <w:r w:rsidR="00016463" w:rsidRPr="00E505F6">
              <w:rPr>
                <w:sz w:val="20"/>
                <w:szCs w:val="20"/>
              </w:rPr>
              <w:t>19 998 640,00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8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109 902,02 EUR (</w:t>
            </w:r>
            <w:r w:rsidR="00016463" w:rsidRPr="00E505F6">
              <w:rPr>
                <w:sz w:val="20"/>
                <w:szCs w:val="20"/>
              </w:rPr>
              <w:t>450 246,63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7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573"/>
        </w:trPr>
        <w:tc>
          <w:tcPr>
            <w:tcW w:w="1821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12.</w:t>
            </w:r>
          </w:p>
        </w:tc>
        <w:tc>
          <w:tcPr>
            <w:tcW w:w="10343" w:type="dxa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Projekty komplementarne</w:t>
            </w:r>
          </w:p>
        </w:tc>
        <w:tc>
          <w:tcPr>
            <w:tcW w:w="4138" w:type="dxa"/>
            <w:gridSpan w:val="2"/>
            <w:vMerge w:val="restart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 czym polega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komplementarność projektów?</w:t>
            </w:r>
          </w:p>
        </w:tc>
      </w:tr>
      <w:tr w:rsidR="00016463" w:rsidRPr="00E505F6" w:rsidTr="006049A7">
        <w:trPr>
          <w:trHeight w:val="591"/>
        </w:trPr>
        <w:tc>
          <w:tcPr>
            <w:tcW w:w="182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264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1</w:t>
            </w:r>
          </w:p>
        </w:tc>
        <w:tc>
          <w:tcPr>
            <w:tcW w:w="5079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Projekt 2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138" w:type="dxa"/>
            <w:gridSpan w:val="2"/>
            <w:vMerge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1833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ind w:left="34"/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Tytuł projektu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Rozbudowa Zakładu Utylizacji Odpadów Komunalnych w Zawierciu poprzez budowę kompostowni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Rozbudowa i doposażenie Zakładu Unieszkodliwiania Odpadów Komunalnych w Zawierciu poprzez zakup przesiewacza mobilnego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016463" w:rsidRPr="00E505F6" w:rsidRDefault="00016463" w:rsidP="006049A7">
            <w:pPr>
              <w:pStyle w:val="Akapitzlist"/>
              <w:spacing w:line="240" w:lineRule="auto"/>
              <w:ind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505F6">
              <w:rPr>
                <w:rFonts w:ascii="Times New Roman" w:hAnsi="Times New Roman"/>
                <w:sz w:val="20"/>
                <w:szCs w:val="20"/>
              </w:rPr>
              <w:t>Przedmiotowe projekty charakteryzuje jeden wspólny cel jakim jest ograniczenie ilości odpadów deponowanych i zdeponowanych w środowisku.  Podejmowane działania uzupełniają się wpływając wzajemnie na intensyfikację efektów, są zaplanowane, cechuje je celowościowe podejście, a co za tym idzie maksymalizacja ich efektywności. Realizacja obu projektów pozwoli wprowadzić w gminie beneficjenta nowoczesny, zgodny z normami ochrony środowiska system zbiórki i utylizacji odpadów. Komplementarność wewnątrz programowa związana jest z realizacją projektów w trybie pozakonkursowym (PRSC) oraz konkursowym - podejmowane działania uzupełniają się także w ramach finansowania z jednego funduszu jakim jest EFRR.</w:t>
            </w:r>
          </w:p>
        </w:tc>
      </w:tr>
      <w:tr w:rsidR="00016463" w:rsidRPr="00E505F6" w:rsidTr="006049A7">
        <w:trPr>
          <w:trHeight w:val="718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Gmina Zawiercie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Gmina Zawiercie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5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województwa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śląskie 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545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funduszu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EFRR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812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Nazwa programu operacyjnego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RPO WSL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185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Nr i nazwa działania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V. Środowisko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5.2 Gospodarka odpadami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(nabór konkursowy)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V. Środowisko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5.2 Gospodarka odpadami</w:t>
            </w:r>
          </w:p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(nabór PRS) 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1012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Okres realizacji projektu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od 2010-12-02 do 2011-12-27</w:t>
            </w:r>
          </w:p>
        </w:tc>
        <w:tc>
          <w:tcPr>
            <w:tcW w:w="5079" w:type="dxa"/>
            <w:gridSpan w:val="2"/>
            <w:shd w:val="clear" w:color="auto" w:fill="auto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od 2009-09-11 do 2011-10-21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1164"/>
        </w:trPr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Cele projektu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016463" w:rsidP="00947AC4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 xml:space="preserve">Celem projektu jest rozwój selektywnej zbiórki odpadów na terenie Gminy Zawiercie oraz ograniczenie ilości odpadów deponowanych w środowisku. Projekt jest zgodny z Gminny Programem Gospodarki Odpadami oraz Wojewódzkim Programem Gospodarki Odpadami. Projekt swoim zakresem będzie obejmował całą Gminę Zawiercie, Gminę Kroczyce i część Gminy Włodowice, Ogrodzieniec i Łazy. Ilość mieszkańców objętych działaniem projektu wyniesie w 2012 roku 34 599. W ramach projektu zostaną wdrożone systemowe rozwiązania dotyczące selektywnej zbiórki odpadów, co pozwoli na rozszerzenie selektywnej zbiórki oraz na recykling i unieszkodliwienie odpadów ulegających biodegradacji, w szczególności poprzez: - budowę placu składowego o pow. 2500m2 na odpady pochodzące z selektywnej zbiórki odpadów, budowę zadaszonej wiaty na sprzęt służący do selektywnej zbiórki odpadów, budowę 10 szt. boksów na frakcje kompostu i odpadów opakowaniowych zgromadzonych w wyniku selektywnej zbiórki, zakup rębarki do gałęzi i frezarki do pni drzew (bio - odpady), zakup koparki oraz przesypywarki do pryzm zgromadzonych w wyniku selektywnej zbiórki odpadów. Doskonalenie selektywnej zbiórki odpadów, w tym zbiór frakcji mokrej, związane jest z dostosowywaniem kompostowni do obowiązujących wymogów i przepisów prawa. Realizacja Projektu pozwoli na skoordynowane działania zmierzające do efektywnej selektywnej zbiórki odpadów. Ponadto w projekcie zakłada się przeprowadzenie akcji promocyjno-edukacyjnej w postaci spotka, plakatów umieszczanych w różnych punktach miasta i ulotek dostarczanych mieszkańcom. Środki na akcję promocyjno – edukacyjną zostały zawarte w promocji projektu. Tak rozumiany i wpisujący się w szerszy kontekst </w:t>
            </w:r>
            <w:r w:rsidRPr="00E505F6">
              <w:rPr>
                <w:sz w:val="20"/>
                <w:szCs w:val="20"/>
              </w:rPr>
              <w:lastRenderedPageBreak/>
              <w:t>rozwój selektywnej zbiórki odpadów w sposób istotny przyczyni się od organicznie globalnej ilości odpadów na terenie Gminy a zarazem na terenie Subregionu Centralnego.</w:t>
            </w:r>
            <w:r w:rsidR="006049A7" w:rsidRPr="00E505F6">
              <w:rPr>
                <w:sz w:val="20"/>
                <w:szCs w:val="20"/>
              </w:rPr>
              <w:t xml:space="preserve"> </w:t>
            </w:r>
            <w:r w:rsidRPr="00E505F6">
              <w:rPr>
                <w:sz w:val="20"/>
                <w:szCs w:val="20"/>
              </w:rPr>
              <w:t>Produkt w rozumieniu logiki projektu stanowi liczba nowych punktów selektywnej zbiórki odpadów - 1 sztuka. Produkt ten zostanie osiągnięty w roku 2011.Zidentyfikowane problemy, na jakie odpowiada projekt, i do których eliminacji lub zmniejszenia się przyczynia, można przedstawić na bazie przyczynowo-skutkowej. Przyczyna problemu: - brak spójnej koncepcji zbiórki odpadów i ich selektywnej obróbki oraz systemu kompleksowego recyklingu. Problem główny: -brak zaplecza technologicznego i infrastrukturalnego systemu selektywnej zbiórki odpadów, -niedostosowanie kompostowni do obowiązujących wymogów i przepisów prawa. Skutki: -obciążenie zmieszanymi odpadami dotychczasowego wysypiska śmieci, Kompleksowa realizacja I i II etapu projektu pozwoli na W chwili obecnej na terenie Gminy Zawiercie oraz gmin ościennych selektywną zbiórka odpadów praktycznie jest wdrażana na małą skalę, a odpady z tej formy zbiórki stanowią niewielki procent wszystkich zbieranych odpadów poddawanych procesom odzysku. Na terenie Zakładu Unieszkodliwiania Odpadów Komunalnych należącego do Zakładu Gospodarki Komunalnej brak jest kompostowni. Obecnie w Gminie Zawiercie oraz gminach ościennych nie ma kompletnej infrastruktury technicznej w zakresie ochrony środowiska, zapewniającej na poziomie lokalnym prawidłowej gospodarki odpadami. Brak odpowiedniej infrastruktury ochrony środowiska uniemożliwia zapewnienie mieszkańcom wysokiej jakości życia i równomiernego rozwoju regionalnego. Składowanie odpadów komunalnych bez wcześniejszej segregacji prowadzi do szybkiego zapełniania się składowisk i nie przynosi korzyści w postaci odzyskanych surowców wtórnych. Realizacja inwestycji w omawianym zakresie jest więc w pełni uzasadniona oraz prowadzi do rozwiązania problemów wynikających z niedostatecznie rozwiniętej infrastruktury ochrony środowiska w Gminie Zawiercie. Rozbudowany Zakład będzie w sposób zorganizowany i zgodny z prawodawstwem polskim i unijnym oferować usługi odbioru i unieszkodliwiania odpadów wszystkim mieszkańcom, rozwiązując jednocześnie wszystkie zidentyfikowane problemy.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016463" w:rsidP="00947AC4">
            <w:pPr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lastRenderedPageBreak/>
              <w:t xml:space="preserve">Celem projektu jest stworzenie systemu kompleksowej gospodarki odpadami na terenie Gminy Zawiercie oraz gmin ościennych,a przez to ograniczenie ilości odpadów deponowanych w środowisku. Projekt jest zgodny z Gminny Programem Gospodarki Odpadami oraz Wojewódzkim Programem Gospodarki Odpadami. Projekt swoim zakresem będzie obejmował całą Gminę Zawiercie, Gminę Kroczyce i część Gminy Włodowice, Ogrodzieniec i Łazy, w ilości 34 967 mieszkańców (prognoza na 2011 rok). W ramach projektu zostaną wdrożone systemowe rozwiązania dotyczące kompleksowej gospodarki odpadami, co pozwoli na rozszerzenie selektywnej zbiórki oraz na recykling i unieszkodliwienie odpadów ulegających przetworzeniu w szczególności m.in. poprzez: budowę platformy przyjęć odpadów komunalnych, oraz zakup mobilnego przesiewacza, czy wybudowanie dróg i placów wewnętrznych, w tym drogi dla ładowarki kołowej obsługującej platformę przyjęć odpadów. Projekt pozwoli na skoordynowane działania zmierzające do efektywnej selektywnej zbiórki odpadów. Ponadto w projekcie zakłada się przeprowadzenie akcji promocyjnej w postaci spotkań, plakatów umieszczanych w różnych punktach miasta i ulotek dostarczanych mieszkańcom. Środki na akcję promocyjną zostały zawarte w promocji projektu. Tak rozumiany i wpisujący się w szerszy kontekst rozwój selektywnej zbiórki odpadów w sposób istotny przyczyni się do organicznia globalnej ilości odpadów na terenie Gminy a zarazem na terenie Subregionu Centralnego. Bezpośrednio po zakończeniu inwestycji powstanie (w rozumieniu logiki projektu) następujący produkt: • Liczba przebudowanych/wyremontowanych zakładów odzysku i </w:t>
            </w:r>
            <w:r w:rsidRPr="00E505F6">
              <w:rPr>
                <w:sz w:val="20"/>
                <w:szCs w:val="20"/>
              </w:rPr>
              <w:lastRenderedPageBreak/>
              <w:t>unieszkodliwiania odpadów – 1 szt.</w:t>
            </w:r>
            <w:r w:rsidR="006049A7" w:rsidRPr="00E505F6">
              <w:rPr>
                <w:sz w:val="20"/>
                <w:szCs w:val="20"/>
              </w:rPr>
              <w:t xml:space="preserve"> </w:t>
            </w:r>
            <w:r w:rsidRPr="00E505F6">
              <w:rPr>
                <w:sz w:val="20"/>
                <w:szCs w:val="20"/>
              </w:rPr>
              <w:t>Produkt ten zostanie osiągnięty w 2010 roku. Zidentyfikowane problemy, na jakie odpowiada projekt, i do których eliminacji lub zmniejszenia się przyczynia, można przedstawić na bazie przyczynowo-skutkowej. Przyczyna problemu: • brak spójnej koncepcji zbiórki odpadów i ich selektywnej obróbki oraz systemu kompleksowego recyklingu. Problem główny: • brak zaplecza technologicznego i infrastrukturalnego systemu selektywnej zbiórki odpadów, Skutki: • obciążenie zmieszanymi odpadami dotychczasowego wysypiska śmieci, Grupę interesariuszy projektu stanowią mieszkańcy Gminy Zawiercie oraz część mieszkańców gmin: Ogrodzieniec, Łazy, Włodowice i Kroczyce. Oddziaływaniem projektu zostaną objęci niektórzy mieszkańcy wyżej wymienionych gmin. Według przeprowadzonej na potrzeby projektu prognozy liczba mieszkańców objętych działaniem w 2011 roku wyniesie 34 967 osób. W chwili obecnej na terenie Gminy Zawiercie oraz gmin ościennych selektywną zbiórka odpadów praktycznie jest wdrażana na małą skalę, a odpady z tej formy zbiórki stanowią niewielki procent wszystkich zbieranych odpadów poddawanych procesom odzysku. Prowadzona tam gospodarka odpadami nie jest całkowicie zgodna, a w niektórych przypadkach jest rozbieżna z Ustawą o Odpadach z 2001r., ustawą Prawo Ochrony Środowiska z 2001r. oraz ustawodawstwem obowiązującym w Unii Europejskiej. Głównym problemem wydaje się również być nieodpowiedni poziom świadomości ekologicznej lokalnej społeczności, skutkujący nieodpowiednim postępowaniem w zakresie racjonalnej gospodarki odpadami. Na terenie Zakładu Unieszkodliwiania Odpadów Komunalnych należącego do Zakładu Gospodarki Komunalnej brak jest kompleksowej linii technologicznej – sita sortowniczego. Wobec przedstawionych problemów realizacja inwestycji pn. „Rozwój selektywnej zbiórki odpadów w Zawierciu poprzez nowe inwestycje – etap I” jest całkowicie uzasadniona i wskazana. Rozbudowany Zakład, obejmujący swym zasięgiem obszar wyżej wymienionych gmin będzie w sposób zorganizowany i zgodny z prawodawstwem polskim i unijnym oferować usługi odbioru i unieszkodliwiania odpadów wszystkim mieszkańcom, rozwiązując jednocześnie wszystkie zidentyfikowane problemy.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94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lastRenderedPageBreak/>
              <w:t>Całkowita wartość projektu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6049A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395 735,68 EUR (</w:t>
            </w:r>
            <w:r w:rsidR="00016463" w:rsidRPr="00E505F6">
              <w:rPr>
                <w:sz w:val="20"/>
                <w:szCs w:val="20"/>
              </w:rPr>
              <w:t>1 621 249,94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2510D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365 037,51 EUR (</w:t>
            </w:r>
            <w:r w:rsidR="00016463" w:rsidRPr="00E505F6">
              <w:rPr>
                <w:sz w:val="20"/>
                <w:szCs w:val="20"/>
              </w:rPr>
              <w:t>1 495 485,66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016463" w:rsidRPr="00E505F6" w:rsidTr="006049A7">
        <w:trPr>
          <w:trHeight w:val="731"/>
        </w:trPr>
        <w:tc>
          <w:tcPr>
            <w:tcW w:w="1821" w:type="dxa"/>
            <w:gridSpan w:val="2"/>
            <w:shd w:val="clear" w:color="auto" w:fill="92D050"/>
            <w:vAlign w:val="center"/>
          </w:tcPr>
          <w:p w:rsidR="00016463" w:rsidRPr="00E505F6" w:rsidRDefault="00016463" w:rsidP="006049A7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E505F6">
              <w:rPr>
                <w:b/>
                <w:sz w:val="20"/>
                <w:szCs w:val="20"/>
              </w:rPr>
              <w:t>Wartość wkładu UE</w:t>
            </w:r>
          </w:p>
        </w:tc>
        <w:tc>
          <w:tcPr>
            <w:tcW w:w="5264" w:type="dxa"/>
            <w:gridSpan w:val="2"/>
            <w:vAlign w:val="center"/>
          </w:tcPr>
          <w:p w:rsidR="00016463" w:rsidRPr="00E505F6" w:rsidRDefault="002510D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292 838,84 EUR (</w:t>
            </w:r>
            <w:r w:rsidR="00016463" w:rsidRPr="00E505F6">
              <w:rPr>
                <w:sz w:val="20"/>
                <w:szCs w:val="20"/>
              </w:rPr>
              <w:t>1 199 702,16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5079" w:type="dxa"/>
            <w:gridSpan w:val="2"/>
            <w:vAlign w:val="center"/>
          </w:tcPr>
          <w:p w:rsidR="00016463" w:rsidRPr="00E505F6" w:rsidRDefault="002510D7" w:rsidP="006049A7">
            <w:pPr>
              <w:jc w:val="center"/>
              <w:outlineLvl w:val="0"/>
              <w:rPr>
                <w:sz w:val="20"/>
                <w:szCs w:val="20"/>
              </w:rPr>
            </w:pPr>
            <w:r w:rsidRPr="00E505F6">
              <w:rPr>
                <w:sz w:val="20"/>
                <w:szCs w:val="20"/>
              </w:rPr>
              <w:t>291 777,04 EUR (</w:t>
            </w:r>
            <w:r w:rsidR="00016463" w:rsidRPr="00E505F6">
              <w:rPr>
                <w:sz w:val="20"/>
                <w:szCs w:val="20"/>
              </w:rPr>
              <w:t>1 195 352,18 PLN</w:t>
            </w:r>
            <w:r w:rsidRPr="00E505F6">
              <w:rPr>
                <w:sz w:val="20"/>
                <w:szCs w:val="20"/>
              </w:rPr>
              <w:t>)</w:t>
            </w:r>
          </w:p>
        </w:tc>
        <w:tc>
          <w:tcPr>
            <w:tcW w:w="4138" w:type="dxa"/>
            <w:gridSpan w:val="2"/>
            <w:vMerge/>
          </w:tcPr>
          <w:p w:rsidR="00016463" w:rsidRPr="00E505F6" w:rsidRDefault="00016463" w:rsidP="006049A7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BE4469" w:rsidRPr="00E505F6" w:rsidRDefault="00BE4469" w:rsidP="00016463">
      <w:pPr>
        <w:outlineLvl w:val="0"/>
        <w:rPr>
          <w:sz w:val="20"/>
          <w:szCs w:val="20"/>
        </w:rPr>
      </w:pPr>
    </w:p>
    <w:sectPr w:rsidR="00BE4469" w:rsidRPr="00E505F6" w:rsidSect="00F8104A">
      <w:footerReference w:type="default" r:id="rId9"/>
      <w:pgSz w:w="16838" w:h="11906" w:orient="landscape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2AB" w:rsidRDefault="005E22AB">
      <w:r>
        <w:separator/>
      </w:r>
    </w:p>
  </w:endnote>
  <w:endnote w:type="continuationSeparator" w:id="0">
    <w:p w:rsidR="005E22AB" w:rsidRDefault="005E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A7" w:rsidRPr="008356C6" w:rsidRDefault="00327166">
    <w:pPr>
      <w:pStyle w:val="Stopka"/>
      <w:jc w:val="center"/>
      <w:rPr>
        <w:sz w:val="20"/>
        <w:szCs w:val="20"/>
      </w:rPr>
    </w:pPr>
    <w:r w:rsidRPr="008356C6">
      <w:rPr>
        <w:sz w:val="20"/>
        <w:szCs w:val="20"/>
      </w:rPr>
      <w:fldChar w:fldCharType="begin"/>
    </w:r>
    <w:r w:rsidR="006049A7" w:rsidRPr="008356C6">
      <w:rPr>
        <w:sz w:val="20"/>
        <w:szCs w:val="20"/>
      </w:rPr>
      <w:instrText xml:space="preserve"> PAGE   \* MERGEFORMAT </w:instrText>
    </w:r>
    <w:r w:rsidRPr="008356C6">
      <w:rPr>
        <w:sz w:val="20"/>
        <w:szCs w:val="20"/>
      </w:rPr>
      <w:fldChar w:fldCharType="separate"/>
    </w:r>
    <w:r w:rsidR="00F92005">
      <w:rPr>
        <w:noProof/>
        <w:sz w:val="20"/>
        <w:szCs w:val="20"/>
      </w:rPr>
      <w:t>1</w:t>
    </w:r>
    <w:r w:rsidRPr="008356C6">
      <w:rPr>
        <w:sz w:val="20"/>
        <w:szCs w:val="20"/>
      </w:rPr>
      <w:fldChar w:fldCharType="end"/>
    </w:r>
  </w:p>
  <w:p w:rsidR="006049A7" w:rsidRDefault="006049A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2AB" w:rsidRDefault="005E22AB">
      <w:r>
        <w:separator/>
      </w:r>
    </w:p>
  </w:footnote>
  <w:footnote w:type="continuationSeparator" w:id="0">
    <w:p w:rsidR="005E22AB" w:rsidRDefault="005E2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020A"/>
    <w:multiLevelType w:val="multilevel"/>
    <w:tmpl w:val="7B6AF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F141B12"/>
    <w:multiLevelType w:val="hybridMultilevel"/>
    <w:tmpl w:val="5BAEAC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C7AC1"/>
    <w:multiLevelType w:val="hybridMultilevel"/>
    <w:tmpl w:val="1A0CB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42C90"/>
    <w:multiLevelType w:val="hybridMultilevel"/>
    <w:tmpl w:val="A5D8E0C8"/>
    <w:lvl w:ilvl="0" w:tplc="9118C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04A"/>
    <w:rsid w:val="000026DF"/>
    <w:rsid w:val="00007095"/>
    <w:rsid w:val="00016463"/>
    <w:rsid w:val="00042556"/>
    <w:rsid w:val="000505D2"/>
    <w:rsid w:val="00097D57"/>
    <w:rsid w:val="000A2EDA"/>
    <w:rsid w:val="000B488F"/>
    <w:rsid w:val="000D78D5"/>
    <w:rsid w:val="000E3B78"/>
    <w:rsid w:val="000F1612"/>
    <w:rsid w:val="000F3F7E"/>
    <w:rsid w:val="00104274"/>
    <w:rsid w:val="001061B1"/>
    <w:rsid w:val="001172C9"/>
    <w:rsid w:val="0015320D"/>
    <w:rsid w:val="001671E2"/>
    <w:rsid w:val="00180BBE"/>
    <w:rsid w:val="001822C4"/>
    <w:rsid w:val="00192CC7"/>
    <w:rsid w:val="00195E7D"/>
    <w:rsid w:val="00197307"/>
    <w:rsid w:val="001A44A2"/>
    <w:rsid w:val="001D72BA"/>
    <w:rsid w:val="001E1568"/>
    <w:rsid w:val="001E2A9D"/>
    <w:rsid w:val="001E4B78"/>
    <w:rsid w:val="001F6C39"/>
    <w:rsid w:val="002018A7"/>
    <w:rsid w:val="00207B5A"/>
    <w:rsid w:val="00220C75"/>
    <w:rsid w:val="002247FA"/>
    <w:rsid w:val="00231689"/>
    <w:rsid w:val="002510D7"/>
    <w:rsid w:val="002642F3"/>
    <w:rsid w:val="002A07BD"/>
    <w:rsid w:val="002A3C1D"/>
    <w:rsid w:val="002A4512"/>
    <w:rsid w:val="002C49FD"/>
    <w:rsid w:val="002D7D6D"/>
    <w:rsid w:val="002E6938"/>
    <w:rsid w:val="002F0DC9"/>
    <w:rsid w:val="002F37B5"/>
    <w:rsid w:val="002F4F78"/>
    <w:rsid w:val="002F6F78"/>
    <w:rsid w:val="003061F3"/>
    <w:rsid w:val="00310AF0"/>
    <w:rsid w:val="00310E2E"/>
    <w:rsid w:val="00311983"/>
    <w:rsid w:val="00312D2E"/>
    <w:rsid w:val="00316B6C"/>
    <w:rsid w:val="00316D6B"/>
    <w:rsid w:val="00327166"/>
    <w:rsid w:val="00344307"/>
    <w:rsid w:val="0035776C"/>
    <w:rsid w:val="00362E75"/>
    <w:rsid w:val="00363531"/>
    <w:rsid w:val="003662B6"/>
    <w:rsid w:val="00370229"/>
    <w:rsid w:val="00383F9A"/>
    <w:rsid w:val="00387BAE"/>
    <w:rsid w:val="003A7944"/>
    <w:rsid w:val="003B22DC"/>
    <w:rsid w:val="003B55C5"/>
    <w:rsid w:val="003C2F82"/>
    <w:rsid w:val="003D53D8"/>
    <w:rsid w:val="003F3BBC"/>
    <w:rsid w:val="00404138"/>
    <w:rsid w:val="0043063D"/>
    <w:rsid w:val="00456F74"/>
    <w:rsid w:val="004625D3"/>
    <w:rsid w:val="0047130D"/>
    <w:rsid w:val="004A160C"/>
    <w:rsid w:val="004D3637"/>
    <w:rsid w:val="004D4F81"/>
    <w:rsid w:val="004E1B90"/>
    <w:rsid w:val="004E6C8E"/>
    <w:rsid w:val="004F02D8"/>
    <w:rsid w:val="00511CA1"/>
    <w:rsid w:val="00543EF2"/>
    <w:rsid w:val="005440C4"/>
    <w:rsid w:val="00547A10"/>
    <w:rsid w:val="00551AD6"/>
    <w:rsid w:val="00555DFC"/>
    <w:rsid w:val="00557E99"/>
    <w:rsid w:val="0056209B"/>
    <w:rsid w:val="0056230A"/>
    <w:rsid w:val="00563B28"/>
    <w:rsid w:val="00564A9F"/>
    <w:rsid w:val="00570542"/>
    <w:rsid w:val="005847B5"/>
    <w:rsid w:val="005922B2"/>
    <w:rsid w:val="005A07CC"/>
    <w:rsid w:val="005B68DE"/>
    <w:rsid w:val="005C0D88"/>
    <w:rsid w:val="005D372F"/>
    <w:rsid w:val="005E1E5A"/>
    <w:rsid w:val="005E22AB"/>
    <w:rsid w:val="005F6BE3"/>
    <w:rsid w:val="005F7533"/>
    <w:rsid w:val="006007C6"/>
    <w:rsid w:val="006049A7"/>
    <w:rsid w:val="00604BC9"/>
    <w:rsid w:val="006208ED"/>
    <w:rsid w:val="00632FF2"/>
    <w:rsid w:val="006363B6"/>
    <w:rsid w:val="00661FDE"/>
    <w:rsid w:val="00680FE8"/>
    <w:rsid w:val="00695DB2"/>
    <w:rsid w:val="00697BC7"/>
    <w:rsid w:val="006C12F7"/>
    <w:rsid w:val="006C5320"/>
    <w:rsid w:val="006C5A10"/>
    <w:rsid w:val="006C7148"/>
    <w:rsid w:val="006D1D85"/>
    <w:rsid w:val="006D4F75"/>
    <w:rsid w:val="006E45FF"/>
    <w:rsid w:val="006F10BE"/>
    <w:rsid w:val="006F2D15"/>
    <w:rsid w:val="00725571"/>
    <w:rsid w:val="00734D59"/>
    <w:rsid w:val="00740E81"/>
    <w:rsid w:val="00744322"/>
    <w:rsid w:val="00747635"/>
    <w:rsid w:val="00757E42"/>
    <w:rsid w:val="00760272"/>
    <w:rsid w:val="00785B8D"/>
    <w:rsid w:val="00785DBA"/>
    <w:rsid w:val="00790832"/>
    <w:rsid w:val="00795FCE"/>
    <w:rsid w:val="007B1712"/>
    <w:rsid w:val="007B5405"/>
    <w:rsid w:val="007C396A"/>
    <w:rsid w:val="007D38B7"/>
    <w:rsid w:val="007E2BF7"/>
    <w:rsid w:val="007E7C6C"/>
    <w:rsid w:val="007F20F9"/>
    <w:rsid w:val="008005E3"/>
    <w:rsid w:val="008010F3"/>
    <w:rsid w:val="00801D8C"/>
    <w:rsid w:val="00805F66"/>
    <w:rsid w:val="00814F36"/>
    <w:rsid w:val="00824971"/>
    <w:rsid w:val="00835F04"/>
    <w:rsid w:val="00852104"/>
    <w:rsid w:val="008705C0"/>
    <w:rsid w:val="0088167F"/>
    <w:rsid w:val="008826C9"/>
    <w:rsid w:val="00884017"/>
    <w:rsid w:val="008A068A"/>
    <w:rsid w:val="008A4C21"/>
    <w:rsid w:val="008A58F7"/>
    <w:rsid w:val="008B6EFF"/>
    <w:rsid w:val="008C1242"/>
    <w:rsid w:val="008C48C5"/>
    <w:rsid w:val="008E1F16"/>
    <w:rsid w:val="008E2BDA"/>
    <w:rsid w:val="008E3B33"/>
    <w:rsid w:val="008E4B3F"/>
    <w:rsid w:val="008F1D3D"/>
    <w:rsid w:val="008F2761"/>
    <w:rsid w:val="008F44E8"/>
    <w:rsid w:val="00900177"/>
    <w:rsid w:val="00911F43"/>
    <w:rsid w:val="00940D4D"/>
    <w:rsid w:val="00943C8C"/>
    <w:rsid w:val="00947AC4"/>
    <w:rsid w:val="00964E15"/>
    <w:rsid w:val="00973207"/>
    <w:rsid w:val="00975335"/>
    <w:rsid w:val="00975C19"/>
    <w:rsid w:val="009A400B"/>
    <w:rsid w:val="009A6050"/>
    <w:rsid w:val="009C01AA"/>
    <w:rsid w:val="009C1245"/>
    <w:rsid w:val="009C54F3"/>
    <w:rsid w:val="009F37C8"/>
    <w:rsid w:val="00A01857"/>
    <w:rsid w:val="00A2788A"/>
    <w:rsid w:val="00A41303"/>
    <w:rsid w:val="00A4683B"/>
    <w:rsid w:val="00A54428"/>
    <w:rsid w:val="00AA4DFD"/>
    <w:rsid w:val="00AB093C"/>
    <w:rsid w:val="00AC66F0"/>
    <w:rsid w:val="00AD162F"/>
    <w:rsid w:val="00B02B42"/>
    <w:rsid w:val="00B15E30"/>
    <w:rsid w:val="00B207B5"/>
    <w:rsid w:val="00B335FB"/>
    <w:rsid w:val="00B61FB4"/>
    <w:rsid w:val="00B71FB0"/>
    <w:rsid w:val="00B771CE"/>
    <w:rsid w:val="00B831CE"/>
    <w:rsid w:val="00B9020C"/>
    <w:rsid w:val="00BA3867"/>
    <w:rsid w:val="00BB0EB7"/>
    <w:rsid w:val="00BC11EA"/>
    <w:rsid w:val="00BC72E9"/>
    <w:rsid w:val="00BE4469"/>
    <w:rsid w:val="00BE6774"/>
    <w:rsid w:val="00BE68B5"/>
    <w:rsid w:val="00C02743"/>
    <w:rsid w:val="00C03104"/>
    <w:rsid w:val="00C22D0A"/>
    <w:rsid w:val="00C22D6D"/>
    <w:rsid w:val="00C36446"/>
    <w:rsid w:val="00C83D47"/>
    <w:rsid w:val="00C85A0D"/>
    <w:rsid w:val="00CA5B74"/>
    <w:rsid w:val="00CB2809"/>
    <w:rsid w:val="00CC5AEB"/>
    <w:rsid w:val="00CD5D8A"/>
    <w:rsid w:val="00CE27E5"/>
    <w:rsid w:val="00CF4C17"/>
    <w:rsid w:val="00D0240A"/>
    <w:rsid w:val="00D12513"/>
    <w:rsid w:val="00D432F8"/>
    <w:rsid w:val="00D47038"/>
    <w:rsid w:val="00D7698B"/>
    <w:rsid w:val="00D826D8"/>
    <w:rsid w:val="00DB3031"/>
    <w:rsid w:val="00DC0914"/>
    <w:rsid w:val="00DC5B41"/>
    <w:rsid w:val="00DC7A88"/>
    <w:rsid w:val="00DC7FF9"/>
    <w:rsid w:val="00DD0BCA"/>
    <w:rsid w:val="00DD10B1"/>
    <w:rsid w:val="00DD7BCF"/>
    <w:rsid w:val="00DE04B1"/>
    <w:rsid w:val="00DE45CB"/>
    <w:rsid w:val="00DF15DA"/>
    <w:rsid w:val="00E0075C"/>
    <w:rsid w:val="00E03E98"/>
    <w:rsid w:val="00E04792"/>
    <w:rsid w:val="00E05773"/>
    <w:rsid w:val="00E10A8C"/>
    <w:rsid w:val="00E22E17"/>
    <w:rsid w:val="00E246F5"/>
    <w:rsid w:val="00E420C0"/>
    <w:rsid w:val="00E505F6"/>
    <w:rsid w:val="00E538A4"/>
    <w:rsid w:val="00E55A7A"/>
    <w:rsid w:val="00E85099"/>
    <w:rsid w:val="00E97616"/>
    <w:rsid w:val="00EA3855"/>
    <w:rsid w:val="00EE463E"/>
    <w:rsid w:val="00F04528"/>
    <w:rsid w:val="00F074DC"/>
    <w:rsid w:val="00F07C18"/>
    <w:rsid w:val="00F13C8C"/>
    <w:rsid w:val="00F22DF8"/>
    <w:rsid w:val="00F2693B"/>
    <w:rsid w:val="00F32006"/>
    <w:rsid w:val="00F32827"/>
    <w:rsid w:val="00F441AA"/>
    <w:rsid w:val="00F55D9A"/>
    <w:rsid w:val="00F8104A"/>
    <w:rsid w:val="00F84056"/>
    <w:rsid w:val="00F86C69"/>
    <w:rsid w:val="00F92005"/>
    <w:rsid w:val="00F93D37"/>
    <w:rsid w:val="00FA3769"/>
    <w:rsid w:val="00FC155F"/>
    <w:rsid w:val="00FC6E7D"/>
    <w:rsid w:val="00FD33B2"/>
    <w:rsid w:val="00FE69FF"/>
    <w:rsid w:val="00FF0D20"/>
    <w:rsid w:val="00FF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04A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86C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810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10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04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86C69"/>
    <w:rPr>
      <w:rFonts w:ascii="Times New Roman" w:eastAsia="Times New Roman" w:hAnsi="Times New Roman"/>
      <w:b/>
      <w:bCs/>
      <w:sz w:val="27"/>
      <w:szCs w:val="27"/>
    </w:rPr>
  </w:style>
  <w:style w:type="paragraph" w:styleId="Tekstpodstawowy">
    <w:name w:val="Body Text"/>
    <w:basedOn w:val="Normalny"/>
    <w:link w:val="TekstpodstawowyZnak"/>
    <w:uiPriority w:val="99"/>
    <w:unhideWhenUsed/>
    <w:rsid w:val="00DE04B1"/>
    <w:pPr>
      <w:autoSpaceDE w:val="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04B1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F78D-6E7E-4976-85DF-956705F4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5630</Words>
  <Characters>33780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UMWS</cp:lastModifiedBy>
  <cp:revision>7</cp:revision>
  <dcterms:created xsi:type="dcterms:W3CDTF">2013-03-21T09:39:00Z</dcterms:created>
  <dcterms:modified xsi:type="dcterms:W3CDTF">2013-05-17T09:08:00Z</dcterms:modified>
</cp:coreProperties>
</file>